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5C9A" w14:textId="3D5A1C55" w:rsidR="00CB22C9" w:rsidRDefault="00BC628E">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9C1AF4" w:rsidRPr="00413909">
        <w:rPr>
          <w:rFonts w:ascii="Arial" w:hAnsi="Arial" w:cs="Arial"/>
          <w:b/>
          <w:sz w:val="24"/>
          <w:lang w:val="en-US"/>
        </w:rPr>
        <w:t>R2-2313376</w:t>
      </w:r>
    </w:p>
    <w:p w14:paraId="44F15849" w14:textId="028C8716" w:rsidR="00CB22C9" w:rsidRDefault="00BC628E">
      <w:pPr>
        <w:tabs>
          <w:tab w:val="right" w:pos="9639"/>
        </w:tabs>
        <w:overflowPunct/>
        <w:autoSpaceDE/>
        <w:autoSpaceDN/>
        <w:adjustRightInd/>
        <w:spacing w:after="0"/>
        <w:jc w:val="left"/>
        <w:rPr>
          <w:rFonts w:ascii="Arial" w:hAnsi="Arial" w:cs="Arial"/>
          <w:b/>
          <w:sz w:val="24"/>
          <w:szCs w:val="22"/>
          <w:lang w:eastAsia="en-US"/>
        </w:rPr>
      </w:pPr>
      <w:r>
        <w:rPr>
          <w:rFonts w:ascii="Arial" w:eastAsia="Times New Roman" w:hAnsi="Arial" w:cs="Arial"/>
          <w:b/>
          <w:sz w:val="24"/>
          <w:szCs w:val="24"/>
          <w:lang w:eastAsia="en-US"/>
        </w:rPr>
        <w:t>Chicago, US</w:t>
      </w:r>
      <w:r w:rsidR="008A2DC3">
        <w:rPr>
          <w:rFonts w:ascii="Arial" w:eastAsia="Times New Roman" w:hAnsi="Arial" w:cs="Arial"/>
          <w:b/>
          <w:sz w:val="24"/>
          <w:szCs w:val="24"/>
          <w:lang w:eastAsia="en-US"/>
        </w:rPr>
        <w:t>A</w:t>
      </w:r>
      <w:r>
        <w:rPr>
          <w:rFonts w:ascii="Arial" w:eastAsia="Times New Roman" w:hAnsi="Arial" w:cs="Arial"/>
          <w:b/>
          <w:sz w:val="24"/>
          <w:szCs w:val="24"/>
          <w:lang w:eastAsia="en-US"/>
        </w:rPr>
        <w:t xml:space="preserve"> 13</w:t>
      </w:r>
      <w:r>
        <w:rPr>
          <w:rFonts w:ascii="Arial" w:eastAsia="Times New Roman" w:hAnsi="Arial" w:cs="Arial"/>
          <w:b/>
          <w:sz w:val="24"/>
          <w:szCs w:val="24"/>
          <w:vertAlign w:val="superscript"/>
          <w:lang w:eastAsia="en-US"/>
        </w:rPr>
        <w:t>rd</w:t>
      </w:r>
      <w:r>
        <w:rPr>
          <w:rFonts w:ascii="Arial" w:eastAsia="Times New Roman" w:hAnsi="Arial" w:cs="Arial"/>
          <w:b/>
          <w:sz w:val="24"/>
          <w:szCs w:val="24"/>
          <w:lang w:eastAsia="en-US"/>
        </w:rPr>
        <w:t xml:space="preserve"> – 17</w:t>
      </w:r>
      <w:r>
        <w:rPr>
          <w:rFonts w:ascii="Arial" w:eastAsia="Times New Roman" w:hAnsi="Arial" w:cs="Arial"/>
          <w:b/>
          <w:sz w:val="24"/>
          <w:szCs w:val="24"/>
          <w:vertAlign w:val="superscript"/>
          <w:lang w:eastAsia="en-US"/>
        </w:rPr>
        <w:t>th</w:t>
      </w:r>
      <w:r>
        <w:rPr>
          <w:rFonts w:ascii="Arial" w:eastAsia="Times New Roman" w:hAnsi="Arial" w:cs="Arial"/>
          <w:b/>
          <w:sz w:val="24"/>
          <w:szCs w:val="24"/>
          <w:lang w:eastAsia="en-US"/>
        </w:rPr>
        <w:t xml:space="preserve"> Nov,</w:t>
      </w:r>
      <w:r>
        <w:rPr>
          <w:rFonts w:ascii="Arial" w:eastAsia="MS Mincho" w:hAnsi="Arial" w:cs="Arial"/>
          <w:b/>
          <w:sz w:val="24"/>
          <w:szCs w:val="22"/>
          <w:lang w:eastAsia="en-US"/>
        </w:rPr>
        <w:t xml:space="preserve"> 2023</w:t>
      </w:r>
    </w:p>
    <w:p w14:paraId="79D4C846" w14:textId="77777777" w:rsidR="00CB22C9" w:rsidRDefault="00CB22C9">
      <w:pPr>
        <w:pStyle w:val="3GPPHeader"/>
        <w:rPr>
          <w:lang w:eastAsia="en-US"/>
        </w:rPr>
      </w:pPr>
    </w:p>
    <w:p w14:paraId="73142AE0" w14:textId="77777777" w:rsidR="00CB22C9" w:rsidRDefault="00BC628E">
      <w:pPr>
        <w:pStyle w:val="3GPPHeader"/>
        <w:tabs>
          <w:tab w:val="clear" w:pos="1701"/>
          <w:tab w:val="left" w:pos="1815"/>
        </w:tabs>
        <w:rPr>
          <w:lang w:eastAsia="en-US"/>
        </w:rPr>
      </w:pPr>
      <w:r>
        <w:rPr>
          <w:lang w:eastAsia="en-US"/>
        </w:rPr>
        <w:t>Agenda Item:</w:t>
      </w:r>
      <w:r>
        <w:rPr>
          <w:lang w:eastAsia="en-US"/>
        </w:rPr>
        <w:tab/>
        <w:t>7.11.3</w:t>
      </w:r>
      <w:r>
        <w:rPr>
          <w:lang w:eastAsia="en-US"/>
        </w:rPr>
        <w:tab/>
      </w:r>
    </w:p>
    <w:p w14:paraId="67BDC08B" w14:textId="77777777" w:rsidR="00CB22C9" w:rsidRDefault="00BC628E">
      <w:pPr>
        <w:pStyle w:val="3GPPHeader"/>
        <w:tabs>
          <w:tab w:val="clear" w:pos="1701"/>
          <w:tab w:val="left" w:pos="1815"/>
        </w:tabs>
        <w:rPr>
          <w:lang w:eastAsia="en-US"/>
        </w:rPr>
      </w:pPr>
      <w:r>
        <w:rPr>
          <w:lang w:eastAsia="en-US"/>
        </w:rPr>
        <w:t>Source:</w:t>
      </w:r>
      <w:r>
        <w:rPr>
          <w:lang w:eastAsia="en-US"/>
        </w:rPr>
        <w:tab/>
        <w:t>Huawei, HiSilicon</w:t>
      </w:r>
    </w:p>
    <w:p w14:paraId="7590875C" w14:textId="44FDC497" w:rsidR="00CB22C9" w:rsidRDefault="00BC628E">
      <w:pPr>
        <w:pStyle w:val="3GPPHeader"/>
        <w:tabs>
          <w:tab w:val="clear" w:pos="1701"/>
          <w:tab w:val="left" w:pos="1815"/>
        </w:tabs>
        <w:rPr>
          <w:lang w:eastAsia="en-US"/>
        </w:rPr>
      </w:pPr>
      <w:r>
        <w:rPr>
          <w:lang w:eastAsia="en-US"/>
        </w:rPr>
        <w:t>Title:</w:t>
      </w:r>
      <w:r>
        <w:rPr>
          <w:lang w:eastAsia="en-US"/>
        </w:rPr>
        <w:tab/>
      </w:r>
      <w:r w:rsidR="009C1AF4" w:rsidRPr="009C1AF4">
        <w:rPr>
          <w:lang w:eastAsia="en-US"/>
        </w:rPr>
        <w:t>Discussion on shared processing for MBS broadcast and unicast reception</w:t>
      </w:r>
    </w:p>
    <w:p w14:paraId="44A5BFB8" w14:textId="77777777" w:rsidR="00CB22C9" w:rsidRDefault="00BC628E">
      <w:pPr>
        <w:pStyle w:val="3GPPHeader"/>
        <w:rPr>
          <w:lang w:eastAsia="en-US"/>
        </w:rPr>
      </w:pPr>
      <w:r>
        <w:rPr>
          <w:lang w:eastAsia="en-US"/>
        </w:rPr>
        <w:t>Document for:   Discussion and decision</w:t>
      </w:r>
    </w:p>
    <w:p w14:paraId="25B8D3E1" w14:textId="77777777" w:rsidR="00CB22C9" w:rsidRDefault="00BC628E">
      <w:pPr>
        <w:pStyle w:val="1"/>
        <w:rPr>
          <w:rFonts w:eastAsia="Malgun Gothic"/>
        </w:rPr>
      </w:pPr>
      <w:r>
        <w:rPr>
          <w:rFonts w:eastAsia="Malgun Gothic"/>
        </w:rPr>
        <w:t>Introduction</w:t>
      </w:r>
    </w:p>
    <w:p w14:paraId="3EA53701" w14:textId="7DFC9E9B" w:rsidR="00CB22C9" w:rsidRDefault="00BC628E">
      <w:pPr>
        <w:spacing w:beforeLines="50" w:before="120"/>
      </w:pPr>
      <w:r>
        <w:t xml:space="preserve">In this contribution, we </w:t>
      </w:r>
      <w:r>
        <w:rPr>
          <w:bCs/>
        </w:rPr>
        <w:t>further analyse the remaining issue on capability reporting for shared processing.</w:t>
      </w:r>
    </w:p>
    <w:p w14:paraId="633BFA27" w14:textId="77777777" w:rsidR="00CB22C9" w:rsidRDefault="00BC628E">
      <w:pPr>
        <w:pStyle w:val="1"/>
        <w:rPr>
          <w:rFonts w:eastAsiaTheme="minorEastAsia"/>
        </w:rPr>
      </w:pPr>
      <w:r>
        <w:rPr>
          <w:rFonts w:eastAsiaTheme="minorEastAsia"/>
        </w:rPr>
        <w:t>Discussion</w:t>
      </w:r>
    </w:p>
    <w:p w14:paraId="0EF88D60" w14:textId="77777777" w:rsidR="00CB22C9" w:rsidRDefault="00BC628E">
      <w:r>
        <w:t xml:space="preserve">In previous meetings, it was agreed that frequency/SCS/CFR bandwidth (location) of the non-serving cell will be included in MII. </w:t>
      </w:r>
    </w:p>
    <w:p w14:paraId="7054623B" w14:textId="1FA3130B" w:rsidR="00CB22C9" w:rsidRDefault="00BC628E">
      <w:r>
        <w:t>We would like to share our understanding on how the MII is used by the serving gNB. In order to determine which FSPC can be used for broadcast reception of the non-serving cell, the serving gNB should be aware of the followin</w:t>
      </w:r>
      <w:r w:rsidRPr="00413909">
        <w:t>g:</w:t>
      </w:r>
      <w:proofErr w:type="gramStart"/>
      <w:r w:rsidRPr="00413909">
        <w:t>1)the</w:t>
      </w:r>
      <w:proofErr w:type="gramEnd"/>
      <w:r w:rsidRPr="00413909">
        <w:t xml:space="preserve"> FSPC that supports the non-serving cell broadcast based on UE's reported capability; 2) the frequency band/SCS/CC BW capability corresponding to this FSPC matches with the information reported in the MII. Based on this, the serving gNB can enable simultaneous unicast/multicast and broadcast reception by, e.g. releasing the </w:t>
      </w:r>
      <w:proofErr w:type="spellStart"/>
      <w:r w:rsidRPr="00413909">
        <w:t>SCell</w:t>
      </w:r>
      <w:proofErr w:type="spellEnd"/>
      <w:r w:rsidRPr="00413909">
        <w:t xml:space="preserve"> related to the</w:t>
      </w:r>
      <w:r>
        <w:t xml:space="preserve"> FSPC used for broadcast reception (e.g. FS4 in Figure-1), and scheduling unicast/multicast according to the remaining FS capability (e.g. FS1 and FS3 in the second line in Figure-1). </w:t>
      </w:r>
    </w:p>
    <w:p w14:paraId="4423CB45" w14:textId="77777777" w:rsidR="00CB22C9" w:rsidRDefault="00BC628E">
      <w:pPr>
        <w:jc w:val="center"/>
      </w:pPr>
      <w:r>
        <w:rPr>
          <w:noProof/>
        </w:rPr>
        <w:drawing>
          <wp:inline distT="0" distB="0" distL="0" distR="0" wp14:anchorId="41FD0D70" wp14:editId="23F94726">
            <wp:extent cx="3285490" cy="172847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301774" cy="1737380"/>
                    </a:xfrm>
                    <a:prstGeom prst="rect">
                      <a:avLst/>
                    </a:prstGeom>
                  </pic:spPr>
                </pic:pic>
              </a:graphicData>
            </a:graphic>
          </wp:inline>
        </w:drawing>
      </w:r>
    </w:p>
    <w:p w14:paraId="2C3A01D1" w14:textId="77777777" w:rsidR="00CB22C9" w:rsidRDefault="00BC628E">
      <w:pPr>
        <w:jc w:val="center"/>
      </w:pPr>
      <w:r>
        <w:t>Figure-1 BC and FSC for unicast in serving cell(s) and broadcast in non-serving cell(s)</w:t>
      </w:r>
    </w:p>
    <w:p w14:paraId="48646A0B" w14:textId="77777777" w:rsidR="00CB22C9" w:rsidRDefault="00BC628E">
      <w:pPr>
        <w:rPr>
          <w:b/>
        </w:rPr>
      </w:pPr>
      <w:r>
        <w:rPr>
          <w:rFonts w:hint="eastAsia"/>
          <w:b/>
        </w:rPr>
        <w:t>O</w:t>
      </w:r>
      <w:r>
        <w:rPr>
          <w:b/>
        </w:rPr>
        <w:t>bservation 1: The serving gNB determines which FSPC can be used for broadcast reception of non-serving cell according to the MII.</w:t>
      </w:r>
    </w:p>
    <w:p w14:paraId="4F450DE6" w14:textId="77777777" w:rsidR="00CB22C9" w:rsidRDefault="00BC628E">
      <w:r>
        <w:t xml:space="preserve">According to the current TS 38.331, the reported band combinations in UE capability can only include the frequency bands within the band filter provided by the gNB (i.e. </w:t>
      </w:r>
      <w:proofErr w:type="spellStart"/>
      <w:r>
        <w:rPr>
          <w:i/>
        </w:rPr>
        <w:t>frequencyBandListFilter</w:t>
      </w:r>
      <w:proofErr w:type="spellEnd"/>
      <w:r>
        <w:t xml:space="preserve">).  </w:t>
      </w:r>
    </w:p>
    <w:tbl>
      <w:tblPr>
        <w:tblStyle w:val="af1"/>
        <w:tblW w:w="9629" w:type="dxa"/>
        <w:tblLayout w:type="fixed"/>
        <w:tblLook w:val="04A0" w:firstRow="1" w:lastRow="0" w:firstColumn="1" w:lastColumn="0" w:noHBand="0" w:noVBand="1"/>
      </w:tblPr>
      <w:tblGrid>
        <w:gridCol w:w="9629"/>
      </w:tblGrid>
      <w:tr w:rsidR="00CB22C9" w14:paraId="0F526EC9" w14:textId="77777777">
        <w:tc>
          <w:tcPr>
            <w:tcW w:w="9629" w:type="dxa"/>
          </w:tcPr>
          <w:p w14:paraId="27330B98" w14:textId="77777777" w:rsidR="00CB22C9" w:rsidRPr="00413909" w:rsidRDefault="00BC628E">
            <w:pPr>
              <w:spacing w:after="180"/>
              <w:jc w:val="left"/>
              <w:textAlignment w:val="baseline"/>
              <w:rPr>
                <w:rFonts w:eastAsia="Times New Roman"/>
                <w:sz w:val="18"/>
                <w:szCs w:val="18"/>
                <w:lang w:eastAsia="ja-JP"/>
              </w:rPr>
            </w:pPr>
            <w:r w:rsidRPr="00413909">
              <w:rPr>
                <w:rFonts w:eastAsia="Times New Roman"/>
                <w:sz w:val="18"/>
                <w:szCs w:val="18"/>
                <w:lang w:eastAsia="ja-JP"/>
              </w:rPr>
              <w:t>The UE shall:</w:t>
            </w:r>
          </w:p>
          <w:p w14:paraId="6C50944B" w14:textId="77777777" w:rsidR="00CB22C9" w:rsidRPr="00413909" w:rsidRDefault="00BC628E">
            <w:pPr>
              <w:spacing w:after="180"/>
              <w:ind w:left="568" w:hanging="284"/>
              <w:jc w:val="left"/>
              <w:textAlignment w:val="baseline"/>
              <w:rPr>
                <w:rFonts w:eastAsia="Times New Roman"/>
                <w:sz w:val="18"/>
                <w:szCs w:val="18"/>
                <w:lang w:eastAsia="ja-JP"/>
              </w:rPr>
            </w:pPr>
            <w:r w:rsidRPr="00413909">
              <w:rPr>
                <w:rFonts w:eastAsia="Times New Roman"/>
                <w:sz w:val="18"/>
                <w:szCs w:val="18"/>
                <w:lang w:eastAsia="ja-JP"/>
              </w:rPr>
              <w:t>1&gt;</w:t>
            </w:r>
            <w:r w:rsidRPr="00413909">
              <w:rPr>
                <w:rFonts w:eastAsia="Times New Roman"/>
                <w:sz w:val="18"/>
                <w:szCs w:val="18"/>
                <w:lang w:eastAsia="ja-JP"/>
              </w:rPr>
              <w:tab/>
              <w:t xml:space="preserve">compile a list of "candidate band combinations" according to the filter criteria in </w:t>
            </w:r>
            <w:proofErr w:type="spellStart"/>
            <w:r w:rsidRPr="00413909">
              <w:rPr>
                <w:rFonts w:eastAsia="Times New Roman"/>
                <w:i/>
                <w:sz w:val="18"/>
                <w:szCs w:val="18"/>
                <w:lang w:eastAsia="ja-JP"/>
              </w:rPr>
              <w:t>capabilityRequestFilterCommon</w:t>
            </w:r>
            <w:proofErr w:type="spellEnd"/>
            <w:r w:rsidRPr="00413909">
              <w:rPr>
                <w:rFonts w:eastAsia="Times New Roman"/>
                <w:i/>
                <w:sz w:val="18"/>
                <w:szCs w:val="18"/>
                <w:lang w:eastAsia="ja-JP"/>
              </w:rPr>
              <w:t xml:space="preserve"> </w:t>
            </w:r>
            <w:r w:rsidRPr="00413909">
              <w:rPr>
                <w:rFonts w:eastAsia="Times New Roman"/>
                <w:sz w:val="18"/>
                <w:szCs w:val="18"/>
                <w:lang w:eastAsia="ja-JP"/>
              </w:rPr>
              <w:t xml:space="preserve">(if included), </w:t>
            </w:r>
            <w:r w:rsidRPr="00413909">
              <w:rPr>
                <w:rFonts w:eastAsia="Times New Roman"/>
                <w:sz w:val="18"/>
                <w:szCs w:val="18"/>
                <w:highlight w:val="yellow"/>
                <w:lang w:eastAsia="ja-JP"/>
              </w:rPr>
              <w:t xml:space="preserve">only consisting of bands included in </w:t>
            </w:r>
            <w:proofErr w:type="spellStart"/>
            <w:r w:rsidRPr="00413909">
              <w:rPr>
                <w:rFonts w:eastAsia="Times New Roman"/>
                <w:i/>
                <w:sz w:val="18"/>
                <w:szCs w:val="18"/>
                <w:highlight w:val="yellow"/>
                <w:lang w:eastAsia="ja-JP"/>
              </w:rPr>
              <w:t>frequencyBandListFilter</w:t>
            </w:r>
            <w:proofErr w:type="spellEnd"/>
            <w:r w:rsidRPr="00413909">
              <w:rPr>
                <w:rFonts w:eastAsia="Times New Roman"/>
                <w:sz w:val="18"/>
                <w:szCs w:val="18"/>
                <w:highlight w:val="yellow"/>
                <w:lang w:eastAsia="ja-JP"/>
              </w:rPr>
              <w:t xml:space="preserve">, and prioritized in the order of </w:t>
            </w:r>
            <w:proofErr w:type="spellStart"/>
            <w:r w:rsidRPr="00413909">
              <w:rPr>
                <w:rFonts w:eastAsia="Times New Roman"/>
                <w:i/>
                <w:sz w:val="18"/>
                <w:szCs w:val="18"/>
                <w:highlight w:val="yellow"/>
                <w:lang w:eastAsia="ja-JP"/>
              </w:rPr>
              <w:t>frequencyBandListFilter</w:t>
            </w:r>
            <w:proofErr w:type="spellEnd"/>
            <w:r w:rsidRPr="00413909">
              <w:rPr>
                <w:rFonts w:eastAsia="Times New Roman"/>
                <w:sz w:val="18"/>
                <w:szCs w:val="18"/>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413909">
              <w:rPr>
                <w:rFonts w:eastAsia="Times New Roman"/>
                <w:i/>
                <w:sz w:val="18"/>
                <w:szCs w:val="18"/>
                <w:lang w:eastAsia="ja-JP"/>
              </w:rPr>
              <w:t>maxBandwidthRequestedDL</w:t>
            </w:r>
            <w:proofErr w:type="spellEnd"/>
            <w:r w:rsidRPr="00413909">
              <w:rPr>
                <w:rFonts w:eastAsia="Times New Roman"/>
                <w:sz w:val="18"/>
                <w:szCs w:val="18"/>
                <w:lang w:eastAsia="ja-JP"/>
              </w:rPr>
              <w:t xml:space="preserve">, </w:t>
            </w:r>
            <w:proofErr w:type="spellStart"/>
            <w:r w:rsidRPr="00413909">
              <w:rPr>
                <w:rFonts w:eastAsia="Times New Roman"/>
                <w:i/>
                <w:sz w:val="18"/>
                <w:szCs w:val="18"/>
                <w:lang w:eastAsia="ja-JP"/>
              </w:rPr>
              <w:t>maxBandwidthRequestedUL</w:t>
            </w:r>
            <w:proofErr w:type="spellEnd"/>
            <w:r w:rsidRPr="00413909">
              <w:rPr>
                <w:rFonts w:eastAsia="Times New Roman"/>
                <w:sz w:val="18"/>
                <w:szCs w:val="18"/>
                <w:lang w:eastAsia="ja-JP"/>
              </w:rPr>
              <w:t xml:space="preserve">, </w:t>
            </w:r>
            <w:proofErr w:type="spellStart"/>
            <w:r w:rsidRPr="00413909">
              <w:rPr>
                <w:rFonts w:eastAsia="Times New Roman"/>
                <w:i/>
                <w:sz w:val="18"/>
                <w:szCs w:val="18"/>
                <w:lang w:eastAsia="ja-JP"/>
              </w:rPr>
              <w:t>maxCarriersRequestedDL</w:t>
            </w:r>
            <w:proofErr w:type="spellEnd"/>
            <w:r w:rsidRPr="00413909">
              <w:rPr>
                <w:rFonts w:eastAsia="Times New Roman"/>
                <w:sz w:val="18"/>
                <w:szCs w:val="18"/>
                <w:lang w:eastAsia="ja-JP"/>
              </w:rPr>
              <w:t xml:space="preserve">, </w:t>
            </w:r>
            <w:proofErr w:type="spellStart"/>
            <w:r w:rsidRPr="00413909">
              <w:rPr>
                <w:rFonts w:eastAsia="Times New Roman"/>
                <w:i/>
                <w:sz w:val="18"/>
                <w:szCs w:val="18"/>
                <w:lang w:eastAsia="ja-JP"/>
              </w:rPr>
              <w:t>maxCarriersRequestedUL</w:t>
            </w:r>
            <w:proofErr w:type="spellEnd"/>
            <w:r w:rsidRPr="00413909">
              <w:rPr>
                <w:rFonts w:eastAsia="Times New Roman"/>
                <w:sz w:val="18"/>
                <w:szCs w:val="18"/>
                <w:lang w:eastAsia="ja-JP"/>
              </w:rPr>
              <w:t xml:space="preserve">, </w:t>
            </w:r>
            <w:r w:rsidRPr="00413909">
              <w:rPr>
                <w:rFonts w:eastAsia="Times New Roman"/>
                <w:i/>
                <w:sz w:val="18"/>
                <w:szCs w:val="18"/>
                <w:lang w:eastAsia="ja-JP"/>
              </w:rPr>
              <w:t>ca-</w:t>
            </w:r>
            <w:proofErr w:type="spellStart"/>
            <w:r w:rsidRPr="00413909">
              <w:rPr>
                <w:rFonts w:eastAsia="Times New Roman"/>
                <w:i/>
                <w:sz w:val="18"/>
                <w:szCs w:val="18"/>
                <w:lang w:eastAsia="ja-JP"/>
              </w:rPr>
              <w:t>BandwidthClassDL</w:t>
            </w:r>
            <w:proofErr w:type="spellEnd"/>
            <w:r w:rsidRPr="00413909">
              <w:rPr>
                <w:rFonts w:eastAsia="Times New Roman"/>
                <w:i/>
                <w:sz w:val="18"/>
                <w:szCs w:val="18"/>
                <w:lang w:eastAsia="ja-JP"/>
              </w:rPr>
              <w:t>-EUTRA</w:t>
            </w:r>
            <w:r w:rsidRPr="00413909">
              <w:rPr>
                <w:rFonts w:eastAsia="Times New Roman"/>
                <w:sz w:val="18"/>
                <w:szCs w:val="18"/>
                <w:lang w:eastAsia="ja-JP"/>
              </w:rPr>
              <w:t xml:space="preserve"> or </w:t>
            </w:r>
            <w:r w:rsidRPr="00413909">
              <w:rPr>
                <w:rFonts w:eastAsia="Times New Roman"/>
                <w:i/>
                <w:sz w:val="18"/>
                <w:szCs w:val="18"/>
                <w:lang w:eastAsia="ja-JP"/>
              </w:rPr>
              <w:t>ca-</w:t>
            </w:r>
            <w:proofErr w:type="spellStart"/>
            <w:r w:rsidRPr="00413909">
              <w:rPr>
                <w:rFonts w:eastAsia="Times New Roman"/>
                <w:i/>
                <w:sz w:val="18"/>
                <w:szCs w:val="18"/>
                <w:lang w:eastAsia="ja-JP"/>
              </w:rPr>
              <w:t>BandwidthClassUL</w:t>
            </w:r>
            <w:proofErr w:type="spellEnd"/>
            <w:r w:rsidRPr="00413909">
              <w:rPr>
                <w:rFonts w:eastAsia="Times New Roman"/>
                <w:i/>
                <w:sz w:val="18"/>
                <w:szCs w:val="18"/>
                <w:lang w:eastAsia="ja-JP"/>
              </w:rPr>
              <w:t>-EUTRA</w:t>
            </w:r>
            <w:r w:rsidRPr="00413909">
              <w:rPr>
                <w:rFonts w:eastAsia="Times New Roman"/>
                <w:sz w:val="18"/>
                <w:szCs w:val="18"/>
                <w:lang w:eastAsia="ja-JP"/>
              </w:rPr>
              <w:t>, whichever are received;</w:t>
            </w:r>
          </w:p>
          <w:p w14:paraId="6A55E56C" w14:textId="77777777" w:rsidR="00CB22C9" w:rsidRPr="00413909" w:rsidRDefault="00BC628E">
            <w:pPr>
              <w:spacing w:after="180"/>
              <w:ind w:left="568" w:hanging="284"/>
              <w:jc w:val="left"/>
              <w:textAlignment w:val="baseline"/>
              <w:rPr>
                <w:rFonts w:eastAsia="Times New Roman"/>
                <w:sz w:val="18"/>
                <w:szCs w:val="18"/>
                <w:lang w:eastAsia="ja-JP"/>
              </w:rPr>
            </w:pPr>
            <w:r w:rsidRPr="00413909">
              <w:rPr>
                <w:rFonts w:eastAsia="Times New Roman"/>
                <w:sz w:val="18"/>
                <w:szCs w:val="18"/>
                <w:lang w:eastAsia="ja-JP"/>
              </w:rPr>
              <w:lastRenderedPageBreak/>
              <w:t>1&gt;</w:t>
            </w:r>
            <w:r w:rsidRPr="00413909">
              <w:rPr>
                <w:rFonts w:eastAsia="Times New Roman"/>
                <w:sz w:val="18"/>
                <w:szCs w:val="18"/>
                <w:lang w:eastAsia="ja-JP"/>
              </w:rPr>
              <w:tab/>
              <w:t>for each band combination included in the list of "candidate band combinations":</w:t>
            </w:r>
          </w:p>
          <w:p w14:paraId="7C4F5AE3" w14:textId="77777777" w:rsidR="00CB22C9" w:rsidRPr="00413909" w:rsidRDefault="00BC628E">
            <w:pPr>
              <w:spacing w:after="180"/>
              <w:ind w:left="851" w:hanging="284"/>
              <w:jc w:val="left"/>
              <w:textAlignment w:val="baseline"/>
              <w:rPr>
                <w:rFonts w:eastAsia="Times New Roman"/>
                <w:sz w:val="18"/>
                <w:szCs w:val="18"/>
                <w:lang w:eastAsia="ja-JP"/>
              </w:rPr>
            </w:pPr>
            <w:r w:rsidRPr="00413909">
              <w:rPr>
                <w:rFonts w:eastAsia="Times New Roman"/>
                <w:sz w:val="18"/>
                <w:szCs w:val="18"/>
                <w:lang w:eastAsia="ja-JP"/>
              </w:rPr>
              <w:t>2&gt;</w:t>
            </w:r>
            <w:r w:rsidRPr="00413909">
              <w:rPr>
                <w:rFonts w:eastAsia="Times New Roman"/>
                <w:sz w:val="18"/>
                <w:szCs w:val="18"/>
                <w:lang w:eastAsia="ja-JP"/>
              </w:rPr>
              <w:tab/>
              <w:t xml:space="preserve">if the network (E-UTRA) included the </w:t>
            </w:r>
            <w:proofErr w:type="spellStart"/>
            <w:r w:rsidRPr="00413909">
              <w:rPr>
                <w:rFonts w:eastAsia="Times New Roman"/>
                <w:i/>
                <w:sz w:val="18"/>
                <w:szCs w:val="18"/>
                <w:lang w:eastAsia="ja-JP"/>
              </w:rPr>
              <w:t>eutra</w:t>
            </w:r>
            <w:proofErr w:type="spellEnd"/>
            <w:r w:rsidRPr="00413909">
              <w:rPr>
                <w:rFonts w:eastAsia="Times New Roman"/>
                <w:i/>
                <w:sz w:val="18"/>
                <w:szCs w:val="18"/>
                <w:lang w:eastAsia="ja-JP"/>
              </w:rPr>
              <w:t>-nr-only</w:t>
            </w:r>
            <w:r w:rsidRPr="00413909">
              <w:rPr>
                <w:rFonts w:eastAsia="Times New Roman"/>
                <w:sz w:val="18"/>
                <w:szCs w:val="18"/>
                <w:lang w:eastAsia="ja-JP"/>
              </w:rPr>
              <w:t xml:space="preserve"> field, or</w:t>
            </w:r>
          </w:p>
          <w:p w14:paraId="0B5EC3EF" w14:textId="77777777" w:rsidR="00CB22C9" w:rsidRPr="00413909" w:rsidRDefault="00BC628E">
            <w:pPr>
              <w:spacing w:after="180"/>
              <w:ind w:left="851" w:hanging="284"/>
              <w:jc w:val="left"/>
              <w:textAlignment w:val="baseline"/>
              <w:rPr>
                <w:rFonts w:eastAsia="Times New Roman"/>
                <w:sz w:val="18"/>
                <w:szCs w:val="18"/>
                <w:lang w:eastAsia="ja-JP"/>
              </w:rPr>
            </w:pPr>
            <w:r w:rsidRPr="00413909">
              <w:rPr>
                <w:rFonts w:eastAsia="Times New Roman"/>
                <w:sz w:val="18"/>
                <w:szCs w:val="18"/>
                <w:lang w:eastAsia="ja-JP"/>
              </w:rPr>
              <w:t>2&gt;</w:t>
            </w:r>
            <w:r w:rsidRPr="00413909">
              <w:rPr>
                <w:rFonts w:eastAsia="Times New Roman"/>
                <w:sz w:val="18"/>
                <w:szCs w:val="18"/>
                <w:lang w:eastAsia="ja-JP"/>
              </w:rPr>
              <w:tab/>
              <w:t xml:space="preserve">if the requested </w:t>
            </w:r>
            <w:r w:rsidRPr="00413909">
              <w:rPr>
                <w:rFonts w:eastAsia="Times New Roman"/>
                <w:i/>
                <w:sz w:val="18"/>
                <w:szCs w:val="18"/>
                <w:lang w:eastAsia="ja-JP"/>
              </w:rPr>
              <w:t>rat-Type</w:t>
            </w:r>
            <w:r w:rsidRPr="00413909">
              <w:rPr>
                <w:rFonts w:eastAsia="Times New Roman"/>
                <w:sz w:val="18"/>
                <w:szCs w:val="18"/>
                <w:lang w:eastAsia="ja-JP"/>
              </w:rPr>
              <w:t xml:space="preserve"> is </w:t>
            </w:r>
            <w:proofErr w:type="spellStart"/>
            <w:r w:rsidRPr="00413909">
              <w:rPr>
                <w:rFonts w:eastAsia="Times New Roman"/>
                <w:i/>
                <w:sz w:val="18"/>
                <w:szCs w:val="18"/>
                <w:lang w:eastAsia="ja-JP"/>
              </w:rPr>
              <w:t>eutra</w:t>
            </w:r>
            <w:proofErr w:type="spellEnd"/>
            <w:r w:rsidRPr="00413909">
              <w:rPr>
                <w:rFonts w:eastAsia="Times New Roman"/>
                <w:sz w:val="18"/>
                <w:szCs w:val="18"/>
                <w:lang w:eastAsia="ja-JP"/>
              </w:rPr>
              <w:t>:</w:t>
            </w:r>
          </w:p>
          <w:p w14:paraId="4D8F58E7" w14:textId="77777777" w:rsidR="00CB22C9" w:rsidRDefault="00BC628E">
            <w:pPr>
              <w:spacing w:after="180"/>
              <w:ind w:left="1135" w:hanging="284"/>
              <w:jc w:val="left"/>
              <w:textAlignment w:val="baseline"/>
              <w:rPr>
                <w:rFonts w:eastAsia="Yu Mincho"/>
                <w:lang w:eastAsia="ja-JP"/>
              </w:rPr>
            </w:pPr>
            <w:r w:rsidRPr="00413909">
              <w:rPr>
                <w:rFonts w:eastAsia="Times New Roman"/>
                <w:sz w:val="18"/>
                <w:szCs w:val="18"/>
                <w:lang w:eastAsia="ja-JP"/>
              </w:rPr>
              <w:t>3&gt;</w:t>
            </w:r>
            <w:r w:rsidRPr="00413909">
              <w:rPr>
                <w:rFonts w:eastAsia="Times New Roman"/>
                <w:sz w:val="18"/>
                <w:szCs w:val="18"/>
                <w:lang w:eastAsia="ja-JP"/>
              </w:rPr>
              <w:tab/>
              <w:t>remove the NR-only band combination from the list of "candidate band combinations";</w:t>
            </w:r>
          </w:p>
        </w:tc>
      </w:tr>
    </w:tbl>
    <w:p w14:paraId="6870D8D4" w14:textId="77777777" w:rsidR="00CB22C9" w:rsidRDefault="00CB22C9"/>
    <w:p w14:paraId="4C3B259D" w14:textId="7A4BDC13" w:rsidR="00CB22C9" w:rsidRDefault="00BC628E">
      <w:r>
        <w:t xml:space="preserve">That means, for inter-PLMN scenario, to enable the UE to report the FSPC supporting broadcast reception in non-serving cell, the gNB needs to include the concerned band of inter-PLMN in the band filters. However, once the NW include the concerned band for inter-PLMN broadcast reception in the band filters in the </w:t>
      </w:r>
      <w:proofErr w:type="spellStart"/>
      <w:r>
        <w:t>capablity</w:t>
      </w:r>
      <w:proofErr w:type="spellEnd"/>
      <w:r>
        <w:t xml:space="preserve"> enquiry, the UE has to report UE capabilities related to both unicast and broadcast for the band since the UE doesn’t know whether the NW is only interested in broadcast related capabilities for the band. The issue is unicast related capabilities are much more complicated than the broadcast-only capabilities, especially considering these capabilities are needed to be combined with other capabilities related to other PLMNs in a band combination. Therefore, the UE may report lots of BCs/</w:t>
      </w:r>
      <w:proofErr w:type="spellStart"/>
      <w:r>
        <w:t>FeatureSets</w:t>
      </w:r>
      <w:proofErr w:type="spellEnd"/>
      <w:r>
        <w:t xml:space="preserve"> related to the unicast capabilities of the inter-PLMN bands, which are not useful to the network but will increase the capability size significantly. </w:t>
      </w:r>
      <w:bookmarkStart w:id="0" w:name="_GoBack"/>
      <w:bookmarkEnd w:id="0"/>
    </w:p>
    <w:p w14:paraId="2F6479D3" w14:textId="50EF61A2" w:rsidR="00CB22C9" w:rsidRDefault="00BC628E">
      <w:r>
        <w:rPr>
          <w:rFonts w:hint="eastAsia"/>
          <w:b/>
        </w:rPr>
        <w:t>O</w:t>
      </w:r>
      <w:r>
        <w:rPr>
          <w:b/>
        </w:rPr>
        <w:t>bservation 2: T</w:t>
      </w:r>
      <w:r>
        <w:rPr>
          <w:rFonts w:hint="eastAsia"/>
          <w:b/>
        </w:rPr>
        <w:t>o enable the UE to report the FSPC supporting broadcast reception in non-serving cell, the gNB needs to include the concerned band</w:t>
      </w:r>
      <w:r>
        <w:rPr>
          <w:b/>
        </w:rPr>
        <w:t>s</w:t>
      </w:r>
      <w:r>
        <w:rPr>
          <w:rFonts w:hint="eastAsia"/>
          <w:b/>
        </w:rPr>
        <w:t xml:space="preserve"> of inter-PLMN in the band filter</w:t>
      </w:r>
      <w:r>
        <w:rPr>
          <w:b/>
        </w:rPr>
        <w:t>. In this case, the UE may also report lots of BCs/</w:t>
      </w:r>
      <w:proofErr w:type="spellStart"/>
      <w:r>
        <w:rPr>
          <w:b/>
        </w:rPr>
        <w:t>FeatureSets</w:t>
      </w:r>
      <w:proofErr w:type="spellEnd"/>
      <w:r>
        <w:rPr>
          <w:b/>
        </w:rPr>
        <w:t xml:space="preserve"> related to the unicast capabilities of inter-PLMN bands, which will unnecessarily increase the capability size.</w:t>
      </w:r>
      <w:r>
        <w:t xml:space="preserve"> </w:t>
      </w:r>
    </w:p>
    <w:p w14:paraId="3CA24E36" w14:textId="2587EAE6" w:rsidR="00CB22C9" w:rsidRDefault="00BC628E">
      <w:r>
        <w:t>To address this issue above, the NW needs to indicate the UE, in capability enquiry message, which bands are only requested for non-serving cell broadcast capabilities. In this case, the irrelevant inter-PLMN unicast capabilities can be avoided.</w:t>
      </w:r>
    </w:p>
    <w:p w14:paraId="399F3271" w14:textId="362B477A" w:rsidR="00CB22C9" w:rsidRDefault="00BC628E">
      <w:pPr>
        <w:rPr>
          <w:b/>
        </w:rPr>
      </w:pPr>
      <w:r>
        <w:rPr>
          <w:b/>
        </w:rPr>
        <w:t xml:space="preserve">Proposal 1: The gNB should indicate the UE in case some bands in the band filter are only requested for MBS reception from non-serving cell in UE capability enquiry procedure. </w:t>
      </w:r>
    </w:p>
    <w:p w14:paraId="2B5ED97E" w14:textId="77777777" w:rsidR="00CB22C9" w:rsidRDefault="00BC628E">
      <w:pPr>
        <w:pStyle w:val="1"/>
        <w:rPr>
          <w:rFonts w:eastAsia="Malgun Gothic"/>
        </w:rPr>
      </w:pPr>
      <w:r>
        <w:rPr>
          <w:rFonts w:eastAsia="Malgun Gothic"/>
        </w:rPr>
        <w:t>Conclusion</w:t>
      </w:r>
    </w:p>
    <w:p w14:paraId="21915CF5" w14:textId="77777777" w:rsidR="00CB22C9" w:rsidRDefault="00BC628E">
      <w:pPr>
        <w:pStyle w:val="a6"/>
      </w:pPr>
      <w:r>
        <w:t>In this contribution, we provide the following observations and proposals:</w:t>
      </w:r>
    </w:p>
    <w:p w14:paraId="5369D44F" w14:textId="77777777" w:rsidR="009C1AF4" w:rsidRDefault="009C1AF4" w:rsidP="009C1AF4">
      <w:pPr>
        <w:rPr>
          <w:b/>
        </w:rPr>
      </w:pPr>
      <w:r>
        <w:rPr>
          <w:rFonts w:hint="eastAsia"/>
          <w:b/>
        </w:rPr>
        <w:t>O</w:t>
      </w:r>
      <w:r>
        <w:rPr>
          <w:b/>
        </w:rPr>
        <w:t>bservation 1: The serving gNB determines which FSPC can be used for broadcast reception of non-serving cell according to the MII.</w:t>
      </w:r>
    </w:p>
    <w:p w14:paraId="1E02C21A" w14:textId="77777777" w:rsidR="009C1AF4" w:rsidRDefault="009C1AF4" w:rsidP="009C1AF4">
      <w:r>
        <w:rPr>
          <w:rFonts w:hint="eastAsia"/>
          <w:b/>
        </w:rPr>
        <w:t>O</w:t>
      </w:r>
      <w:r>
        <w:rPr>
          <w:b/>
        </w:rPr>
        <w:t>bservation 2: T</w:t>
      </w:r>
      <w:r>
        <w:rPr>
          <w:rFonts w:hint="eastAsia"/>
          <w:b/>
        </w:rPr>
        <w:t>o enable the UE to report the FSPC supporting broadcast reception in non-serving cell, the gNB needs to include the concerned band</w:t>
      </w:r>
      <w:r>
        <w:rPr>
          <w:b/>
        </w:rPr>
        <w:t>s</w:t>
      </w:r>
      <w:r>
        <w:rPr>
          <w:rFonts w:hint="eastAsia"/>
          <w:b/>
        </w:rPr>
        <w:t xml:space="preserve"> of inter-PLMN in the band filter</w:t>
      </w:r>
      <w:r>
        <w:rPr>
          <w:b/>
        </w:rPr>
        <w:t>. In this case, the UE may also report lots of BCs/</w:t>
      </w:r>
      <w:proofErr w:type="spellStart"/>
      <w:r>
        <w:rPr>
          <w:b/>
        </w:rPr>
        <w:t>FeatureSets</w:t>
      </w:r>
      <w:proofErr w:type="spellEnd"/>
      <w:r>
        <w:rPr>
          <w:b/>
        </w:rPr>
        <w:t xml:space="preserve"> related to the unicast capabilities of inter-PLMN bands, which will unnecessarily increase the capability size.</w:t>
      </w:r>
      <w:r>
        <w:t xml:space="preserve"> </w:t>
      </w:r>
    </w:p>
    <w:p w14:paraId="6ADD2C65" w14:textId="77777777" w:rsidR="009C1AF4" w:rsidRDefault="009C1AF4" w:rsidP="009C1AF4">
      <w:pPr>
        <w:rPr>
          <w:b/>
        </w:rPr>
      </w:pPr>
      <w:r>
        <w:rPr>
          <w:b/>
        </w:rPr>
        <w:t xml:space="preserve">Proposal 1: The gNB should indicate the UE in case some bands in the band filter are only requested for MBS reception from non-serving cell in UE capability enquiry procedure. </w:t>
      </w:r>
    </w:p>
    <w:p w14:paraId="15EA3D03" w14:textId="77777777" w:rsidR="00CB22C9" w:rsidRDefault="00BC628E">
      <w:pPr>
        <w:pStyle w:val="1"/>
        <w:rPr>
          <w:rFonts w:eastAsia="Malgun Gothic"/>
        </w:rPr>
      </w:pPr>
      <w:r>
        <w:rPr>
          <w:rFonts w:eastAsia="Malgun Gothic"/>
        </w:rPr>
        <w:t>References</w:t>
      </w:r>
    </w:p>
    <w:p w14:paraId="5633478C" w14:textId="77777777" w:rsidR="00CB22C9" w:rsidRDefault="00BC628E">
      <w:r>
        <w:t>[1] RAN2#123-bis chairman’s note.</w:t>
      </w:r>
    </w:p>
    <w:sectPr w:rsidR="00CB22C9">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99F34" w14:textId="77777777" w:rsidR="00DF1947" w:rsidRDefault="00DF1947" w:rsidP="009C1AF4">
      <w:pPr>
        <w:spacing w:after="0"/>
      </w:pPr>
      <w:r>
        <w:separator/>
      </w:r>
    </w:p>
  </w:endnote>
  <w:endnote w:type="continuationSeparator" w:id="0">
    <w:p w14:paraId="4FA20B9A" w14:textId="77777777" w:rsidR="00DF1947" w:rsidRDefault="00DF1947" w:rsidP="009C1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BB069" w14:textId="77777777" w:rsidR="00DF1947" w:rsidRDefault="00DF1947" w:rsidP="009C1AF4">
      <w:pPr>
        <w:spacing w:after="0"/>
      </w:pPr>
      <w:r>
        <w:separator/>
      </w:r>
    </w:p>
  </w:footnote>
  <w:footnote w:type="continuationSeparator" w:id="0">
    <w:p w14:paraId="7099A3F2" w14:textId="77777777" w:rsidR="00DF1947" w:rsidRDefault="00DF1947" w:rsidP="009C1A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lang w:val="en-US"/>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8FBF9912"/>
    <w:rsid w:val="959CCB2D"/>
    <w:rsid w:val="9BF62D04"/>
    <w:rsid w:val="B1E5E981"/>
    <w:rsid w:val="B5371345"/>
    <w:rsid w:val="BCE526A6"/>
    <w:rsid w:val="BFDD1106"/>
    <w:rsid w:val="CCF77372"/>
    <w:rsid w:val="CF6BAFFB"/>
    <w:rsid w:val="D5FD4409"/>
    <w:rsid w:val="D73B04AF"/>
    <w:rsid w:val="DBFD597E"/>
    <w:rsid w:val="DCEB0B87"/>
    <w:rsid w:val="DF1D1F9D"/>
    <w:rsid w:val="DFF71265"/>
    <w:rsid w:val="EDFE377D"/>
    <w:rsid w:val="EF8B4D85"/>
    <w:rsid w:val="EFBE6053"/>
    <w:rsid w:val="F56D5265"/>
    <w:rsid w:val="F6BDF918"/>
    <w:rsid w:val="F75BC6B6"/>
    <w:rsid w:val="F7BF0C28"/>
    <w:rsid w:val="F9FF0305"/>
    <w:rsid w:val="FAB714D8"/>
    <w:rsid w:val="FF14E94A"/>
    <w:rsid w:val="FF3F789E"/>
    <w:rsid w:val="FFFEF92F"/>
    <w:rsid w:val="00001195"/>
    <w:rsid w:val="00003982"/>
    <w:rsid w:val="00004D31"/>
    <w:rsid w:val="0000500F"/>
    <w:rsid w:val="00006CFC"/>
    <w:rsid w:val="00007F8B"/>
    <w:rsid w:val="00012B7D"/>
    <w:rsid w:val="00013F9F"/>
    <w:rsid w:val="0002556D"/>
    <w:rsid w:val="00026549"/>
    <w:rsid w:val="00026790"/>
    <w:rsid w:val="000272C0"/>
    <w:rsid w:val="0002783C"/>
    <w:rsid w:val="000321F3"/>
    <w:rsid w:val="000325A9"/>
    <w:rsid w:val="000363CC"/>
    <w:rsid w:val="00036520"/>
    <w:rsid w:val="000369A7"/>
    <w:rsid w:val="0004047A"/>
    <w:rsid w:val="00041DB9"/>
    <w:rsid w:val="000449D8"/>
    <w:rsid w:val="00045CC4"/>
    <w:rsid w:val="00046906"/>
    <w:rsid w:val="000470D1"/>
    <w:rsid w:val="00052E72"/>
    <w:rsid w:val="00053048"/>
    <w:rsid w:val="000555E4"/>
    <w:rsid w:val="000556B6"/>
    <w:rsid w:val="00056BFC"/>
    <w:rsid w:val="0006138F"/>
    <w:rsid w:val="000701A7"/>
    <w:rsid w:val="000717D6"/>
    <w:rsid w:val="00072099"/>
    <w:rsid w:val="00081B22"/>
    <w:rsid w:val="00091235"/>
    <w:rsid w:val="000942D7"/>
    <w:rsid w:val="000967F0"/>
    <w:rsid w:val="000A399E"/>
    <w:rsid w:val="000A4435"/>
    <w:rsid w:val="000A4594"/>
    <w:rsid w:val="000B1DB1"/>
    <w:rsid w:val="000C32ED"/>
    <w:rsid w:val="000D2989"/>
    <w:rsid w:val="000D2DFD"/>
    <w:rsid w:val="000D4E48"/>
    <w:rsid w:val="000D52BD"/>
    <w:rsid w:val="000E1C56"/>
    <w:rsid w:val="000E4ACE"/>
    <w:rsid w:val="000E6361"/>
    <w:rsid w:val="000E6485"/>
    <w:rsid w:val="000F1159"/>
    <w:rsid w:val="000F13EC"/>
    <w:rsid w:val="000F6961"/>
    <w:rsid w:val="00100DEA"/>
    <w:rsid w:val="00102130"/>
    <w:rsid w:val="00102594"/>
    <w:rsid w:val="00104C22"/>
    <w:rsid w:val="00104DA6"/>
    <w:rsid w:val="001057CC"/>
    <w:rsid w:val="00110A47"/>
    <w:rsid w:val="001148F9"/>
    <w:rsid w:val="0011611A"/>
    <w:rsid w:val="001216EB"/>
    <w:rsid w:val="00123340"/>
    <w:rsid w:val="0012374B"/>
    <w:rsid w:val="00124864"/>
    <w:rsid w:val="00125782"/>
    <w:rsid w:val="00126FB0"/>
    <w:rsid w:val="00132EFF"/>
    <w:rsid w:val="00133266"/>
    <w:rsid w:val="001347BB"/>
    <w:rsid w:val="00136511"/>
    <w:rsid w:val="00136A26"/>
    <w:rsid w:val="001405B1"/>
    <w:rsid w:val="00144CDB"/>
    <w:rsid w:val="0014567B"/>
    <w:rsid w:val="00146CE0"/>
    <w:rsid w:val="00150962"/>
    <w:rsid w:val="00156C66"/>
    <w:rsid w:val="0016219F"/>
    <w:rsid w:val="001629E6"/>
    <w:rsid w:val="0016376A"/>
    <w:rsid w:val="00166918"/>
    <w:rsid w:val="00167D75"/>
    <w:rsid w:val="00171DC6"/>
    <w:rsid w:val="00176930"/>
    <w:rsid w:val="00180D3D"/>
    <w:rsid w:val="001826D0"/>
    <w:rsid w:val="00183E54"/>
    <w:rsid w:val="00185FFE"/>
    <w:rsid w:val="00187C44"/>
    <w:rsid w:val="00190E6E"/>
    <w:rsid w:val="00192316"/>
    <w:rsid w:val="00193050"/>
    <w:rsid w:val="0019776D"/>
    <w:rsid w:val="001A0433"/>
    <w:rsid w:val="001A2425"/>
    <w:rsid w:val="001A242D"/>
    <w:rsid w:val="001B5DF8"/>
    <w:rsid w:val="001B740C"/>
    <w:rsid w:val="001C0C92"/>
    <w:rsid w:val="001C5B49"/>
    <w:rsid w:val="001E20B1"/>
    <w:rsid w:val="001E6DA7"/>
    <w:rsid w:val="001E787D"/>
    <w:rsid w:val="001E7E8B"/>
    <w:rsid w:val="001F6BE3"/>
    <w:rsid w:val="001F7FE7"/>
    <w:rsid w:val="00204B1B"/>
    <w:rsid w:val="002057CA"/>
    <w:rsid w:val="00205C5F"/>
    <w:rsid w:val="002075D4"/>
    <w:rsid w:val="0021754B"/>
    <w:rsid w:val="00221DB9"/>
    <w:rsid w:val="00222933"/>
    <w:rsid w:val="00223488"/>
    <w:rsid w:val="00227265"/>
    <w:rsid w:val="00227A83"/>
    <w:rsid w:val="002303CB"/>
    <w:rsid w:val="00231DE7"/>
    <w:rsid w:val="00240FF8"/>
    <w:rsid w:val="002433BB"/>
    <w:rsid w:val="00245905"/>
    <w:rsid w:val="00247E48"/>
    <w:rsid w:val="00250756"/>
    <w:rsid w:val="00250CAA"/>
    <w:rsid w:val="00254343"/>
    <w:rsid w:val="00257035"/>
    <w:rsid w:val="0026092A"/>
    <w:rsid w:val="00262BD5"/>
    <w:rsid w:val="00264160"/>
    <w:rsid w:val="00267128"/>
    <w:rsid w:val="002674AF"/>
    <w:rsid w:val="002733FE"/>
    <w:rsid w:val="0027463C"/>
    <w:rsid w:val="00280CD1"/>
    <w:rsid w:val="00293FBF"/>
    <w:rsid w:val="002A57BC"/>
    <w:rsid w:val="002A7EB8"/>
    <w:rsid w:val="002B10A7"/>
    <w:rsid w:val="002B4B5B"/>
    <w:rsid w:val="002C00EF"/>
    <w:rsid w:val="002C311C"/>
    <w:rsid w:val="002D02AE"/>
    <w:rsid w:val="002D3D77"/>
    <w:rsid w:val="002D4C48"/>
    <w:rsid w:val="002D5539"/>
    <w:rsid w:val="002E0BD5"/>
    <w:rsid w:val="002E11E3"/>
    <w:rsid w:val="002E1C17"/>
    <w:rsid w:val="002E1D1E"/>
    <w:rsid w:val="002F0CC4"/>
    <w:rsid w:val="002F1490"/>
    <w:rsid w:val="002F1A00"/>
    <w:rsid w:val="002F58B2"/>
    <w:rsid w:val="002F5C5B"/>
    <w:rsid w:val="002F682F"/>
    <w:rsid w:val="002F6BE3"/>
    <w:rsid w:val="0030119C"/>
    <w:rsid w:val="00305325"/>
    <w:rsid w:val="00305B00"/>
    <w:rsid w:val="00305E17"/>
    <w:rsid w:val="00312AD1"/>
    <w:rsid w:val="00317288"/>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87AC5"/>
    <w:rsid w:val="00390689"/>
    <w:rsid w:val="00391D19"/>
    <w:rsid w:val="003931E1"/>
    <w:rsid w:val="00395A31"/>
    <w:rsid w:val="00397317"/>
    <w:rsid w:val="003A1AC7"/>
    <w:rsid w:val="003A284B"/>
    <w:rsid w:val="003B243E"/>
    <w:rsid w:val="003B4626"/>
    <w:rsid w:val="003B47F9"/>
    <w:rsid w:val="003C0902"/>
    <w:rsid w:val="003C2A89"/>
    <w:rsid w:val="003D0552"/>
    <w:rsid w:val="003D1040"/>
    <w:rsid w:val="003D1D3B"/>
    <w:rsid w:val="003D3350"/>
    <w:rsid w:val="003D57F1"/>
    <w:rsid w:val="003E3040"/>
    <w:rsid w:val="003E51A4"/>
    <w:rsid w:val="003E538B"/>
    <w:rsid w:val="003E7EDB"/>
    <w:rsid w:val="003F19BA"/>
    <w:rsid w:val="003F2ED0"/>
    <w:rsid w:val="003F36DC"/>
    <w:rsid w:val="003F3CED"/>
    <w:rsid w:val="00401397"/>
    <w:rsid w:val="00404494"/>
    <w:rsid w:val="00406DB7"/>
    <w:rsid w:val="004120DC"/>
    <w:rsid w:val="00413909"/>
    <w:rsid w:val="00415529"/>
    <w:rsid w:val="00417F94"/>
    <w:rsid w:val="00421FBF"/>
    <w:rsid w:val="00422F26"/>
    <w:rsid w:val="00431C82"/>
    <w:rsid w:val="004333C6"/>
    <w:rsid w:val="0043558C"/>
    <w:rsid w:val="00437191"/>
    <w:rsid w:val="00447BCE"/>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3336"/>
    <w:rsid w:val="0049409E"/>
    <w:rsid w:val="004A04AD"/>
    <w:rsid w:val="004A5DFC"/>
    <w:rsid w:val="004A79F0"/>
    <w:rsid w:val="004B03AD"/>
    <w:rsid w:val="004B085A"/>
    <w:rsid w:val="004C3841"/>
    <w:rsid w:val="004C3E53"/>
    <w:rsid w:val="004D1572"/>
    <w:rsid w:val="004D2483"/>
    <w:rsid w:val="004D625E"/>
    <w:rsid w:val="004D631D"/>
    <w:rsid w:val="004D6D90"/>
    <w:rsid w:val="004E00F5"/>
    <w:rsid w:val="004E18CB"/>
    <w:rsid w:val="004E2BB0"/>
    <w:rsid w:val="004E4008"/>
    <w:rsid w:val="004E6DBA"/>
    <w:rsid w:val="004E794E"/>
    <w:rsid w:val="004F1307"/>
    <w:rsid w:val="004F17AB"/>
    <w:rsid w:val="004F2B99"/>
    <w:rsid w:val="004F3BD9"/>
    <w:rsid w:val="004F428F"/>
    <w:rsid w:val="004F6CD9"/>
    <w:rsid w:val="00500BA1"/>
    <w:rsid w:val="00501DBE"/>
    <w:rsid w:val="0050394C"/>
    <w:rsid w:val="005108F9"/>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0264"/>
    <w:rsid w:val="00561A17"/>
    <w:rsid w:val="00563290"/>
    <w:rsid w:val="00571FC1"/>
    <w:rsid w:val="00572637"/>
    <w:rsid w:val="00573EBA"/>
    <w:rsid w:val="00577741"/>
    <w:rsid w:val="005778E2"/>
    <w:rsid w:val="00581A85"/>
    <w:rsid w:val="0058265B"/>
    <w:rsid w:val="0059298A"/>
    <w:rsid w:val="005A10D3"/>
    <w:rsid w:val="005A1259"/>
    <w:rsid w:val="005A4D34"/>
    <w:rsid w:val="005A4EA6"/>
    <w:rsid w:val="005A5BB6"/>
    <w:rsid w:val="005A6208"/>
    <w:rsid w:val="005A736F"/>
    <w:rsid w:val="005A7855"/>
    <w:rsid w:val="005B23B2"/>
    <w:rsid w:val="005B4099"/>
    <w:rsid w:val="005C553F"/>
    <w:rsid w:val="005C5CC0"/>
    <w:rsid w:val="005D3292"/>
    <w:rsid w:val="005D72AF"/>
    <w:rsid w:val="005E0393"/>
    <w:rsid w:val="005E1798"/>
    <w:rsid w:val="005E524C"/>
    <w:rsid w:val="005F0D38"/>
    <w:rsid w:val="005F46E2"/>
    <w:rsid w:val="005F6DEF"/>
    <w:rsid w:val="005F7036"/>
    <w:rsid w:val="00600768"/>
    <w:rsid w:val="00600FDD"/>
    <w:rsid w:val="006049EF"/>
    <w:rsid w:val="00610179"/>
    <w:rsid w:val="00613872"/>
    <w:rsid w:val="00615051"/>
    <w:rsid w:val="0062320B"/>
    <w:rsid w:val="0062546F"/>
    <w:rsid w:val="00625F5D"/>
    <w:rsid w:val="00630FBE"/>
    <w:rsid w:val="006310EB"/>
    <w:rsid w:val="00631B22"/>
    <w:rsid w:val="0063525D"/>
    <w:rsid w:val="00635680"/>
    <w:rsid w:val="00644983"/>
    <w:rsid w:val="00644C2E"/>
    <w:rsid w:val="00646D16"/>
    <w:rsid w:val="00647600"/>
    <w:rsid w:val="00652DE7"/>
    <w:rsid w:val="00657FD4"/>
    <w:rsid w:val="00663722"/>
    <w:rsid w:val="00670B41"/>
    <w:rsid w:val="00670FD1"/>
    <w:rsid w:val="00671F53"/>
    <w:rsid w:val="006748F1"/>
    <w:rsid w:val="0067590A"/>
    <w:rsid w:val="00680047"/>
    <w:rsid w:val="006801F9"/>
    <w:rsid w:val="00681090"/>
    <w:rsid w:val="00683963"/>
    <w:rsid w:val="006861D0"/>
    <w:rsid w:val="00687A8C"/>
    <w:rsid w:val="0069645C"/>
    <w:rsid w:val="00696B01"/>
    <w:rsid w:val="006973D0"/>
    <w:rsid w:val="006A040B"/>
    <w:rsid w:val="006B21D6"/>
    <w:rsid w:val="006B4750"/>
    <w:rsid w:val="006B5043"/>
    <w:rsid w:val="006C2B22"/>
    <w:rsid w:val="006C2ECD"/>
    <w:rsid w:val="006C4A1B"/>
    <w:rsid w:val="006D106C"/>
    <w:rsid w:val="006D1C6D"/>
    <w:rsid w:val="006D6009"/>
    <w:rsid w:val="006D668A"/>
    <w:rsid w:val="006E38DE"/>
    <w:rsid w:val="006E4FE8"/>
    <w:rsid w:val="006E52F0"/>
    <w:rsid w:val="006E6256"/>
    <w:rsid w:val="006F04A9"/>
    <w:rsid w:val="006F2180"/>
    <w:rsid w:val="006F2B41"/>
    <w:rsid w:val="006F4948"/>
    <w:rsid w:val="006F7AEA"/>
    <w:rsid w:val="00701DDB"/>
    <w:rsid w:val="00706466"/>
    <w:rsid w:val="00707E18"/>
    <w:rsid w:val="00707E86"/>
    <w:rsid w:val="00710ABB"/>
    <w:rsid w:val="00716304"/>
    <w:rsid w:val="00734496"/>
    <w:rsid w:val="00734BAC"/>
    <w:rsid w:val="00735DE8"/>
    <w:rsid w:val="00747D50"/>
    <w:rsid w:val="00750CFE"/>
    <w:rsid w:val="007574CF"/>
    <w:rsid w:val="007667AF"/>
    <w:rsid w:val="007678B0"/>
    <w:rsid w:val="00780020"/>
    <w:rsid w:val="00781AC6"/>
    <w:rsid w:val="00782CF4"/>
    <w:rsid w:val="007839AF"/>
    <w:rsid w:val="00784CED"/>
    <w:rsid w:val="00785DAE"/>
    <w:rsid w:val="00793D2D"/>
    <w:rsid w:val="00794494"/>
    <w:rsid w:val="00797762"/>
    <w:rsid w:val="007A1166"/>
    <w:rsid w:val="007A5817"/>
    <w:rsid w:val="007A5A2C"/>
    <w:rsid w:val="007B1022"/>
    <w:rsid w:val="007B3863"/>
    <w:rsid w:val="007B3B10"/>
    <w:rsid w:val="007B48C6"/>
    <w:rsid w:val="007B63D3"/>
    <w:rsid w:val="007B78DE"/>
    <w:rsid w:val="007B7F7E"/>
    <w:rsid w:val="007C0463"/>
    <w:rsid w:val="007C059B"/>
    <w:rsid w:val="007C0935"/>
    <w:rsid w:val="007C2956"/>
    <w:rsid w:val="007C6BE5"/>
    <w:rsid w:val="007D23D2"/>
    <w:rsid w:val="007D2B22"/>
    <w:rsid w:val="007D3B66"/>
    <w:rsid w:val="007E2C1F"/>
    <w:rsid w:val="007E6C03"/>
    <w:rsid w:val="007E6C65"/>
    <w:rsid w:val="007F14DA"/>
    <w:rsid w:val="007F3FAA"/>
    <w:rsid w:val="00800E39"/>
    <w:rsid w:val="00801DF3"/>
    <w:rsid w:val="008034E5"/>
    <w:rsid w:val="00803C5D"/>
    <w:rsid w:val="008055D4"/>
    <w:rsid w:val="00805DE6"/>
    <w:rsid w:val="008079AD"/>
    <w:rsid w:val="00810FE9"/>
    <w:rsid w:val="0081264E"/>
    <w:rsid w:val="00812BDE"/>
    <w:rsid w:val="00812D6C"/>
    <w:rsid w:val="00820293"/>
    <w:rsid w:val="0082167A"/>
    <w:rsid w:val="008231E6"/>
    <w:rsid w:val="008256CA"/>
    <w:rsid w:val="00825C4E"/>
    <w:rsid w:val="00826B89"/>
    <w:rsid w:val="00831165"/>
    <w:rsid w:val="0083146E"/>
    <w:rsid w:val="008329BC"/>
    <w:rsid w:val="0083419A"/>
    <w:rsid w:val="00834D3A"/>
    <w:rsid w:val="00842F90"/>
    <w:rsid w:val="0084589B"/>
    <w:rsid w:val="00847A34"/>
    <w:rsid w:val="0085073B"/>
    <w:rsid w:val="008512E1"/>
    <w:rsid w:val="00851F9A"/>
    <w:rsid w:val="00856920"/>
    <w:rsid w:val="00866C34"/>
    <w:rsid w:val="00866E3E"/>
    <w:rsid w:val="00874B84"/>
    <w:rsid w:val="008870C0"/>
    <w:rsid w:val="008967E4"/>
    <w:rsid w:val="008968C9"/>
    <w:rsid w:val="00896954"/>
    <w:rsid w:val="00896DD5"/>
    <w:rsid w:val="008A0034"/>
    <w:rsid w:val="008A2DC3"/>
    <w:rsid w:val="008A56EA"/>
    <w:rsid w:val="008A70AC"/>
    <w:rsid w:val="008B5E21"/>
    <w:rsid w:val="008C1349"/>
    <w:rsid w:val="008D5BB6"/>
    <w:rsid w:val="008D7321"/>
    <w:rsid w:val="008E05CC"/>
    <w:rsid w:val="008E0FB7"/>
    <w:rsid w:val="008E699D"/>
    <w:rsid w:val="008F2AFC"/>
    <w:rsid w:val="008F2FBC"/>
    <w:rsid w:val="008F4347"/>
    <w:rsid w:val="008F4D90"/>
    <w:rsid w:val="008F646F"/>
    <w:rsid w:val="0090161D"/>
    <w:rsid w:val="00907C08"/>
    <w:rsid w:val="00910AB1"/>
    <w:rsid w:val="00912EBE"/>
    <w:rsid w:val="0091384B"/>
    <w:rsid w:val="00916B7A"/>
    <w:rsid w:val="00920DFA"/>
    <w:rsid w:val="009213AC"/>
    <w:rsid w:val="0092307B"/>
    <w:rsid w:val="009233A9"/>
    <w:rsid w:val="00930B23"/>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51843"/>
    <w:rsid w:val="00957657"/>
    <w:rsid w:val="00962177"/>
    <w:rsid w:val="00962843"/>
    <w:rsid w:val="00966634"/>
    <w:rsid w:val="00967E21"/>
    <w:rsid w:val="00970181"/>
    <w:rsid w:val="009707DE"/>
    <w:rsid w:val="009726FF"/>
    <w:rsid w:val="00973912"/>
    <w:rsid w:val="00974098"/>
    <w:rsid w:val="009770DB"/>
    <w:rsid w:val="009839B5"/>
    <w:rsid w:val="0098462D"/>
    <w:rsid w:val="00986196"/>
    <w:rsid w:val="00987D51"/>
    <w:rsid w:val="00995329"/>
    <w:rsid w:val="00996E70"/>
    <w:rsid w:val="009A1FF5"/>
    <w:rsid w:val="009A3782"/>
    <w:rsid w:val="009A46E0"/>
    <w:rsid w:val="009A50E6"/>
    <w:rsid w:val="009A570E"/>
    <w:rsid w:val="009A704A"/>
    <w:rsid w:val="009B6C3F"/>
    <w:rsid w:val="009C06C6"/>
    <w:rsid w:val="009C1A4A"/>
    <w:rsid w:val="009C1AF4"/>
    <w:rsid w:val="009C52A4"/>
    <w:rsid w:val="009C7078"/>
    <w:rsid w:val="009C70D2"/>
    <w:rsid w:val="009D15E5"/>
    <w:rsid w:val="009D32AC"/>
    <w:rsid w:val="009D508A"/>
    <w:rsid w:val="009D78FC"/>
    <w:rsid w:val="009E0F69"/>
    <w:rsid w:val="009E1D0C"/>
    <w:rsid w:val="009E25BC"/>
    <w:rsid w:val="009E45D0"/>
    <w:rsid w:val="009F4A6F"/>
    <w:rsid w:val="009F7831"/>
    <w:rsid w:val="00A00EAE"/>
    <w:rsid w:val="00A0364F"/>
    <w:rsid w:val="00A03AB4"/>
    <w:rsid w:val="00A05FD8"/>
    <w:rsid w:val="00A07287"/>
    <w:rsid w:val="00A07723"/>
    <w:rsid w:val="00A07729"/>
    <w:rsid w:val="00A12AB4"/>
    <w:rsid w:val="00A15C7B"/>
    <w:rsid w:val="00A16903"/>
    <w:rsid w:val="00A216EE"/>
    <w:rsid w:val="00A2513D"/>
    <w:rsid w:val="00A31E45"/>
    <w:rsid w:val="00A32CE2"/>
    <w:rsid w:val="00A37367"/>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40F2"/>
    <w:rsid w:val="00A87719"/>
    <w:rsid w:val="00A91B8B"/>
    <w:rsid w:val="00A936EB"/>
    <w:rsid w:val="00A94670"/>
    <w:rsid w:val="00A95507"/>
    <w:rsid w:val="00AA6417"/>
    <w:rsid w:val="00AB41C8"/>
    <w:rsid w:val="00AB4810"/>
    <w:rsid w:val="00AB5712"/>
    <w:rsid w:val="00AB64C0"/>
    <w:rsid w:val="00AB650C"/>
    <w:rsid w:val="00AB7153"/>
    <w:rsid w:val="00AB7432"/>
    <w:rsid w:val="00AC0681"/>
    <w:rsid w:val="00AC348B"/>
    <w:rsid w:val="00AC3E2E"/>
    <w:rsid w:val="00AC42D2"/>
    <w:rsid w:val="00AC5455"/>
    <w:rsid w:val="00AC638F"/>
    <w:rsid w:val="00AD2838"/>
    <w:rsid w:val="00AD5977"/>
    <w:rsid w:val="00AD6F54"/>
    <w:rsid w:val="00AD73DE"/>
    <w:rsid w:val="00AE02F0"/>
    <w:rsid w:val="00AE5312"/>
    <w:rsid w:val="00AF0014"/>
    <w:rsid w:val="00AF70CD"/>
    <w:rsid w:val="00AF7489"/>
    <w:rsid w:val="00B00B9D"/>
    <w:rsid w:val="00B02B25"/>
    <w:rsid w:val="00B11EE1"/>
    <w:rsid w:val="00B12FA0"/>
    <w:rsid w:val="00B1321C"/>
    <w:rsid w:val="00B13DBC"/>
    <w:rsid w:val="00B1643E"/>
    <w:rsid w:val="00B27071"/>
    <w:rsid w:val="00B3121B"/>
    <w:rsid w:val="00B31BEE"/>
    <w:rsid w:val="00B35F43"/>
    <w:rsid w:val="00B36674"/>
    <w:rsid w:val="00B37894"/>
    <w:rsid w:val="00B37DC3"/>
    <w:rsid w:val="00B4107A"/>
    <w:rsid w:val="00B4194B"/>
    <w:rsid w:val="00B432C3"/>
    <w:rsid w:val="00B4486B"/>
    <w:rsid w:val="00B4603A"/>
    <w:rsid w:val="00B479BC"/>
    <w:rsid w:val="00B47D29"/>
    <w:rsid w:val="00B47FDC"/>
    <w:rsid w:val="00B54798"/>
    <w:rsid w:val="00B62BC0"/>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5D2E"/>
    <w:rsid w:val="00BA7EC9"/>
    <w:rsid w:val="00BB135C"/>
    <w:rsid w:val="00BB179A"/>
    <w:rsid w:val="00BB60FE"/>
    <w:rsid w:val="00BC3527"/>
    <w:rsid w:val="00BC3A85"/>
    <w:rsid w:val="00BC539B"/>
    <w:rsid w:val="00BC628E"/>
    <w:rsid w:val="00BC64BC"/>
    <w:rsid w:val="00BD49B0"/>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49A3"/>
    <w:rsid w:val="00C24A79"/>
    <w:rsid w:val="00C24DAA"/>
    <w:rsid w:val="00C26115"/>
    <w:rsid w:val="00C26801"/>
    <w:rsid w:val="00C33CB2"/>
    <w:rsid w:val="00C358BB"/>
    <w:rsid w:val="00C405F3"/>
    <w:rsid w:val="00C421F3"/>
    <w:rsid w:val="00C45777"/>
    <w:rsid w:val="00C4649F"/>
    <w:rsid w:val="00C47F3A"/>
    <w:rsid w:val="00C50248"/>
    <w:rsid w:val="00C527CD"/>
    <w:rsid w:val="00C54F7C"/>
    <w:rsid w:val="00C57BAE"/>
    <w:rsid w:val="00C639B7"/>
    <w:rsid w:val="00C64091"/>
    <w:rsid w:val="00C66B7D"/>
    <w:rsid w:val="00C66B84"/>
    <w:rsid w:val="00C66FA0"/>
    <w:rsid w:val="00C7564A"/>
    <w:rsid w:val="00C85ABC"/>
    <w:rsid w:val="00C91E56"/>
    <w:rsid w:val="00CA32D6"/>
    <w:rsid w:val="00CA3683"/>
    <w:rsid w:val="00CA56DF"/>
    <w:rsid w:val="00CA6B19"/>
    <w:rsid w:val="00CB22C9"/>
    <w:rsid w:val="00CB39DE"/>
    <w:rsid w:val="00CB4792"/>
    <w:rsid w:val="00CC4576"/>
    <w:rsid w:val="00CC6B63"/>
    <w:rsid w:val="00CD124D"/>
    <w:rsid w:val="00CD65A0"/>
    <w:rsid w:val="00CD709D"/>
    <w:rsid w:val="00CE1831"/>
    <w:rsid w:val="00CE1B14"/>
    <w:rsid w:val="00CE3AEA"/>
    <w:rsid w:val="00CE3BE5"/>
    <w:rsid w:val="00CE7703"/>
    <w:rsid w:val="00CF2EBE"/>
    <w:rsid w:val="00CF3A37"/>
    <w:rsid w:val="00CF47B6"/>
    <w:rsid w:val="00D007AC"/>
    <w:rsid w:val="00D0226F"/>
    <w:rsid w:val="00D02F6D"/>
    <w:rsid w:val="00D12194"/>
    <w:rsid w:val="00D1386B"/>
    <w:rsid w:val="00D13B30"/>
    <w:rsid w:val="00D15A05"/>
    <w:rsid w:val="00D167AE"/>
    <w:rsid w:val="00D260A3"/>
    <w:rsid w:val="00D30064"/>
    <w:rsid w:val="00D30B85"/>
    <w:rsid w:val="00D341CA"/>
    <w:rsid w:val="00D36A83"/>
    <w:rsid w:val="00D40517"/>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91629"/>
    <w:rsid w:val="00D9287F"/>
    <w:rsid w:val="00D95EF6"/>
    <w:rsid w:val="00D9779E"/>
    <w:rsid w:val="00D97835"/>
    <w:rsid w:val="00DA0D9B"/>
    <w:rsid w:val="00DA273A"/>
    <w:rsid w:val="00DA3126"/>
    <w:rsid w:val="00DA3E64"/>
    <w:rsid w:val="00DA4E49"/>
    <w:rsid w:val="00DB0116"/>
    <w:rsid w:val="00DB2406"/>
    <w:rsid w:val="00DB5829"/>
    <w:rsid w:val="00DC0CF2"/>
    <w:rsid w:val="00DC504A"/>
    <w:rsid w:val="00DC7FBF"/>
    <w:rsid w:val="00DD1ABC"/>
    <w:rsid w:val="00DD2ACB"/>
    <w:rsid w:val="00DD75DB"/>
    <w:rsid w:val="00DE05B8"/>
    <w:rsid w:val="00DE3A92"/>
    <w:rsid w:val="00DE4971"/>
    <w:rsid w:val="00DE5DC5"/>
    <w:rsid w:val="00DF0045"/>
    <w:rsid w:val="00DF1947"/>
    <w:rsid w:val="00DF1EDB"/>
    <w:rsid w:val="00DF5F06"/>
    <w:rsid w:val="00E01C8C"/>
    <w:rsid w:val="00E01EDB"/>
    <w:rsid w:val="00E05301"/>
    <w:rsid w:val="00E05958"/>
    <w:rsid w:val="00E0763F"/>
    <w:rsid w:val="00E20730"/>
    <w:rsid w:val="00E215CB"/>
    <w:rsid w:val="00E21867"/>
    <w:rsid w:val="00E231ED"/>
    <w:rsid w:val="00E23480"/>
    <w:rsid w:val="00E244F1"/>
    <w:rsid w:val="00E24C48"/>
    <w:rsid w:val="00E25E5C"/>
    <w:rsid w:val="00E2716F"/>
    <w:rsid w:val="00E41631"/>
    <w:rsid w:val="00E45D3C"/>
    <w:rsid w:val="00E52E3C"/>
    <w:rsid w:val="00E54AB5"/>
    <w:rsid w:val="00E630D0"/>
    <w:rsid w:val="00E66060"/>
    <w:rsid w:val="00E66576"/>
    <w:rsid w:val="00E674AB"/>
    <w:rsid w:val="00E71F19"/>
    <w:rsid w:val="00E74119"/>
    <w:rsid w:val="00E753EA"/>
    <w:rsid w:val="00E8002A"/>
    <w:rsid w:val="00E80ED7"/>
    <w:rsid w:val="00E8529A"/>
    <w:rsid w:val="00E871BA"/>
    <w:rsid w:val="00E9485D"/>
    <w:rsid w:val="00E97E6C"/>
    <w:rsid w:val="00EA1E0E"/>
    <w:rsid w:val="00EA668B"/>
    <w:rsid w:val="00EB0333"/>
    <w:rsid w:val="00EB0ECA"/>
    <w:rsid w:val="00EB20CF"/>
    <w:rsid w:val="00EB22C8"/>
    <w:rsid w:val="00EC1267"/>
    <w:rsid w:val="00EC4AE1"/>
    <w:rsid w:val="00EC6E1A"/>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1192"/>
    <w:rsid w:val="00F032FD"/>
    <w:rsid w:val="00F03332"/>
    <w:rsid w:val="00F034C4"/>
    <w:rsid w:val="00F0381E"/>
    <w:rsid w:val="00F075E1"/>
    <w:rsid w:val="00F077AB"/>
    <w:rsid w:val="00F130F0"/>
    <w:rsid w:val="00F20045"/>
    <w:rsid w:val="00F22EF5"/>
    <w:rsid w:val="00F2335A"/>
    <w:rsid w:val="00F23B21"/>
    <w:rsid w:val="00F24B76"/>
    <w:rsid w:val="00F2555A"/>
    <w:rsid w:val="00F25F20"/>
    <w:rsid w:val="00F26D0B"/>
    <w:rsid w:val="00F323DC"/>
    <w:rsid w:val="00F346B6"/>
    <w:rsid w:val="00F4025C"/>
    <w:rsid w:val="00F4212F"/>
    <w:rsid w:val="00F436BC"/>
    <w:rsid w:val="00F45F56"/>
    <w:rsid w:val="00F54C4D"/>
    <w:rsid w:val="00F564F4"/>
    <w:rsid w:val="00F5771C"/>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38EF"/>
    <w:rsid w:val="00FB47A0"/>
    <w:rsid w:val="00FB5018"/>
    <w:rsid w:val="00FB6678"/>
    <w:rsid w:val="00FC3A54"/>
    <w:rsid w:val="00FD1F30"/>
    <w:rsid w:val="00FD5D2D"/>
    <w:rsid w:val="00FD6260"/>
    <w:rsid w:val="00FE2779"/>
    <w:rsid w:val="00FE297C"/>
    <w:rsid w:val="00FE503B"/>
    <w:rsid w:val="00FE779D"/>
    <w:rsid w:val="00FF0618"/>
    <w:rsid w:val="00FF49F8"/>
    <w:rsid w:val="00FF4CA1"/>
    <w:rsid w:val="00FF559E"/>
    <w:rsid w:val="00FF6F24"/>
    <w:rsid w:val="00FF7CEF"/>
    <w:rsid w:val="2AEEE189"/>
    <w:rsid w:val="3FBF6F17"/>
    <w:rsid w:val="3FEF29A9"/>
    <w:rsid w:val="3FEFD27A"/>
    <w:rsid w:val="3FFFA2D2"/>
    <w:rsid w:val="424BCED1"/>
    <w:rsid w:val="5EFFAAD2"/>
    <w:rsid w:val="5F67AF73"/>
    <w:rsid w:val="665F5DBD"/>
    <w:rsid w:val="69330B00"/>
    <w:rsid w:val="69372060"/>
    <w:rsid w:val="6EE73402"/>
    <w:rsid w:val="6F2B90CA"/>
    <w:rsid w:val="6F6C4E84"/>
    <w:rsid w:val="6FF73CA6"/>
    <w:rsid w:val="6FFD91A2"/>
    <w:rsid w:val="74EF679A"/>
    <w:rsid w:val="76AB857F"/>
    <w:rsid w:val="776D88C4"/>
    <w:rsid w:val="77FD2ADD"/>
    <w:rsid w:val="7B7BFF5E"/>
    <w:rsid w:val="7BFBBDF0"/>
    <w:rsid w:val="7CC5CD95"/>
    <w:rsid w:val="7CFF91AE"/>
    <w:rsid w:val="7D77D864"/>
    <w:rsid w:val="7D7D8003"/>
    <w:rsid w:val="7DF7D34C"/>
    <w:rsid w:val="7ECFBA35"/>
    <w:rsid w:val="7EEFCD84"/>
    <w:rsid w:val="7F9FD96B"/>
    <w:rsid w:val="7FE30A97"/>
    <w:rsid w:val="7FFDC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923644"/>
  <w15:docId w15:val="{FC91E0C9-1A54-4A29-8691-0970213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sz w:val="36"/>
      <w:szCs w:val="36"/>
      <w:lang w:val="en-GB"/>
    </w:rPr>
  </w:style>
  <w:style w:type="paragraph" w:styleId="2">
    <w:name w:val="heading 2"/>
    <w:basedOn w:val="1"/>
    <w:next w:val="a"/>
    <w:link w:val="20"/>
    <w:unhideWhenUsed/>
    <w:qFormat/>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1"/>
    <w:semiHidden/>
    <w:unhideWhenUsed/>
    <w:qFormat/>
    <w:pPr>
      <w:numPr>
        <w:ilvl w:val="3"/>
        <w:numId w:val="1"/>
      </w:numPr>
      <w:spacing w:before="120" w:after="180"/>
      <w:jc w:val="left"/>
      <w:outlineLvl w:val="3"/>
    </w:pPr>
    <w:rPr>
      <w:rFonts w:ascii="Arial" w:eastAsia="Times New Roman" w:hAnsi="Arial" w:cs="Times New Roman"/>
      <w:color w:val="auto"/>
    </w:rPr>
  </w:style>
  <w:style w:type="paragraph" w:styleId="5">
    <w:name w:val="heading 5"/>
    <w:basedOn w:val="4"/>
    <w:next w:val="a"/>
    <w:link w:val="50"/>
    <w:semiHidden/>
    <w:unhideWhenUsed/>
    <w:qFormat/>
    <w:pPr>
      <w:numPr>
        <w:ilvl w:val="4"/>
      </w:numPr>
      <w:outlineLvl w:val="4"/>
    </w:pPr>
    <w:rPr>
      <w:sz w:val="22"/>
      <w:szCs w:val="22"/>
    </w:rPr>
  </w:style>
  <w:style w:type="paragraph" w:styleId="6">
    <w:name w:val="heading 6"/>
    <w:basedOn w:val="a"/>
    <w:next w:val="a"/>
    <w:link w:val="60"/>
    <w:semiHidden/>
    <w:unhideWhenUsed/>
    <w:qFormat/>
    <w:pPr>
      <w:keepNext/>
      <w:keepLines/>
      <w:numPr>
        <w:ilvl w:val="5"/>
        <w:numId w:val="1"/>
      </w:numPr>
      <w:spacing w:before="120"/>
      <w:outlineLvl w:val="5"/>
    </w:pPr>
    <w:rPr>
      <w:rFonts w:cs="Arial"/>
    </w:rPr>
  </w:style>
  <w:style w:type="paragraph" w:styleId="7">
    <w:name w:val="heading 7"/>
    <w:basedOn w:val="a"/>
    <w:next w:val="a"/>
    <w:link w:val="70"/>
    <w:semiHidden/>
    <w:unhideWhenUsed/>
    <w:qFormat/>
    <w:pPr>
      <w:keepNext/>
      <w:keepLines/>
      <w:numPr>
        <w:ilvl w:val="6"/>
        <w:numId w:val="1"/>
      </w:numPr>
      <w:spacing w:before="120"/>
      <w:outlineLvl w:val="6"/>
    </w:pPr>
    <w:rPr>
      <w:rFonts w:cs="Arial"/>
    </w:rPr>
  </w:style>
  <w:style w:type="paragraph" w:styleId="8">
    <w:name w:val="heading 8"/>
    <w:basedOn w:val="7"/>
    <w:next w:val="a"/>
    <w:link w:val="80"/>
    <w:semiHidden/>
    <w:unhideWhenUsed/>
    <w:qFormat/>
    <w:pPr>
      <w:numPr>
        <w:ilvl w:val="7"/>
      </w:numPr>
      <w:outlineLvl w:val="7"/>
    </w:pPr>
  </w:style>
  <w:style w:type="paragraph" w:styleId="9">
    <w:name w:val="heading 9"/>
    <w:basedOn w:val="8"/>
    <w:next w:val="a"/>
    <w:link w:val="90"/>
    <w:semiHidden/>
    <w:unhideWhenUsed/>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uiPriority w:val="99"/>
    <w:unhideWhenUsed/>
  </w:style>
  <w:style w:type="paragraph" w:styleId="a6">
    <w:name w:val="Body Text"/>
    <w:basedOn w:val="a"/>
    <w:link w:val="a7"/>
    <w:unhideWhenUsed/>
    <w:qFormat/>
    <w:rPr>
      <w:rFonts w:eastAsia="Malgun Gothic"/>
    </w:rPr>
  </w:style>
  <w:style w:type="paragraph" w:styleId="21">
    <w:name w:val="List 2"/>
    <w:basedOn w:val="a"/>
    <w:uiPriority w:val="99"/>
    <w:semiHidden/>
    <w:unhideWhenUsed/>
    <w:pPr>
      <w:ind w:leftChars="200" w:left="100" w:hangingChars="200" w:hanging="200"/>
      <w:contextualSpacing/>
    </w:pPr>
  </w:style>
  <w:style w:type="paragraph" w:styleId="a8">
    <w:name w:val="Balloon Text"/>
    <w:basedOn w:val="a"/>
    <w:link w:val="a9"/>
    <w:uiPriority w:val="99"/>
    <w:semiHidden/>
    <w:unhideWhenUsed/>
    <w:pPr>
      <w:spacing w:after="0"/>
    </w:pPr>
    <w:rPr>
      <w:rFonts w:ascii="Segoe UI" w:hAnsi="Segoe UI" w:cs="Segoe UI"/>
      <w:sz w:val="18"/>
      <w:szCs w:val="18"/>
    </w:rPr>
  </w:style>
  <w:style w:type="paragraph" w:styleId="aa">
    <w:name w:val="footer"/>
    <w:basedOn w:val="a"/>
    <w:link w:val="ab"/>
    <w:uiPriority w:val="99"/>
    <w:unhideWhenUsed/>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51">
    <w:name w:val="List 5"/>
    <w:basedOn w:val="a"/>
    <w:uiPriority w:val="99"/>
    <w:semiHidden/>
    <w:unhideWhenUsed/>
    <w:qFormat/>
    <w:pPr>
      <w:ind w:leftChars="800" w:left="100" w:hangingChars="200" w:hanging="200"/>
    </w:pPr>
  </w:style>
  <w:style w:type="paragraph" w:styleId="40">
    <w:name w:val="List 4"/>
    <w:basedOn w:val="a"/>
    <w:uiPriority w:val="99"/>
    <w:semiHidden/>
    <w:unhideWhenUsed/>
    <w:pPr>
      <w:ind w:leftChars="600" w:left="100" w:hangingChars="200" w:hanging="200"/>
    </w:pPr>
  </w:style>
  <w:style w:type="paragraph" w:styleId="ae">
    <w:name w:val="Normal (Web)"/>
    <w:basedOn w:val="a"/>
    <w:uiPriority w:val="99"/>
    <w:semiHidden/>
    <w:unhideWhenUsed/>
    <w:qFormat/>
    <w:pPr>
      <w:overflowPunct/>
      <w:autoSpaceDE/>
      <w:autoSpaceDN/>
      <w:adjustRightInd/>
      <w:spacing w:before="100" w:beforeAutospacing="1" w:after="100" w:afterAutospacing="1"/>
      <w:jc w:val="left"/>
    </w:pPr>
    <w:rPr>
      <w:rFonts w:eastAsiaTheme="minorEastAsia"/>
      <w:sz w:val="24"/>
      <w:szCs w:val="24"/>
    </w:rPr>
  </w:style>
  <w:style w:type="paragraph" w:styleId="af">
    <w:name w:val="annotation subject"/>
    <w:basedOn w:val="a4"/>
    <w:next w:val="a4"/>
    <w:link w:val="af0"/>
    <w:uiPriority w:val="99"/>
    <w:semiHidden/>
    <w:unhideWhenUsed/>
    <w:rPr>
      <w:b/>
      <w:bCs/>
    </w:rPr>
  </w:style>
  <w:style w:type="table" w:styleId="af1">
    <w:name w:val="Table Grid"/>
    <w:basedOn w:val="a1"/>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qFormat/>
    <w:rPr>
      <w:sz w:val="16"/>
      <w:szCs w:val="16"/>
    </w:rPr>
  </w:style>
  <w:style w:type="character" w:customStyle="1" w:styleId="Heading1Char">
    <w:name w:val="Heading 1 Char"/>
    <w:basedOn w:val="a0"/>
    <w:uiPriority w:val="9"/>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basedOn w:val="a0"/>
    <w:link w:val="2"/>
    <w:rPr>
      <w:rFonts w:ascii="Arial" w:eastAsia="Times New Roman" w:hAnsi="Arial" w:cs="Times New Roman"/>
      <w:sz w:val="32"/>
      <w:szCs w:val="32"/>
      <w:lang w:val="en-GB" w:eastAsia="zh-CN"/>
    </w:rPr>
  </w:style>
  <w:style w:type="character" w:customStyle="1" w:styleId="41">
    <w:name w:val="标题 4 字符1"/>
    <w:basedOn w:val="a0"/>
    <w:link w:val="4"/>
    <w:semiHidden/>
    <w:rPr>
      <w:rFonts w:ascii="Arial" w:eastAsia="Times New Roman" w:hAnsi="Arial" w:cs="Times New Roman"/>
      <w:sz w:val="24"/>
      <w:szCs w:val="24"/>
      <w:lang w:val="en-GB" w:eastAsia="zh-CN"/>
    </w:rPr>
  </w:style>
  <w:style w:type="character" w:customStyle="1" w:styleId="50">
    <w:name w:val="标题 5 字符"/>
    <w:basedOn w:val="a0"/>
    <w:link w:val="5"/>
    <w:semiHidden/>
    <w:qFormat/>
    <w:rPr>
      <w:rFonts w:ascii="Arial" w:eastAsia="Times New Roman" w:hAnsi="Arial" w:cs="Times New Roman"/>
      <w:lang w:val="en-GB" w:eastAsia="zh-CN"/>
    </w:rPr>
  </w:style>
  <w:style w:type="character" w:customStyle="1" w:styleId="60">
    <w:name w:val="标题 6 字符"/>
    <w:basedOn w:val="a0"/>
    <w:link w:val="6"/>
    <w:semiHidden/>
    <w:qFormat/>
    <w:rPr>
      <w:rFonts w:ascii="Arial" w:eastAsia="宋体" w:hAnsi="Arial" w:cs="Arial"/>
      <w:sz w:val="20"/>
      <w:szCs w:val="20"/>
      <w:lang w:val="en-US" w:eastAsia="zh-CN"/>
    </w:rPr>
  </w:style>
  <w:style w:type="character" w:customStyle="1" w:styleId="70">
    <w:name w:val="标题 7 字符"/>
    <w:basedOn w:val="a0"/>
    <w:link w:val="7"/>
    <w:semiHidden/>
    <w:qFormat/>
    <w:rPr>
      <w:rFonts w:ascii="Arial" w:eastAsia="宋体" w:hAnsi="Arial" w:cs="Arial"/>
      <w:sz w:val="20"/>
      <w:szCs w:val="20"/>
      <w:lang w:val="en-US" w:eastAsia="zh-CN"/>
    </w:rPr>
  </w:style>
  <w:style w:type="character" w:customStyle="1" w:styleId="80">
    <w:name w:val="标题 8 字符"/>
    <w:basedOn w:val="a0"/>
    <w:link w:val="8"/>
    <w:semiHidden/>
    <w:qFormat/>
    <w:rPr>
      <w:rFonts w:ascii="Arial" w:eastAsia="宋体" w:hAnsi="Arial" w:cs="Arial"/>
      <w:sz w:val="20"/>
      <w:szCs w:val="20"/>
      <w:lang w:val="en-US" w:eastAsia="zh-CN"/>
    </w:rPr>
  </w:style>
  <w:style w:type="character" w:customStyle="1" w:styleId="90">
    <w:name w:val="标题 9 字符"/>
    <w:basedOn w:val="a0"/>
    <w:link w:val="9"/>
    <w:semiHidden/>
    <w:rPr>
      <w:rFonts w:ascii="Arial" w:eastAsia="宋体" w:hAnsi="Arial" w:cs="Arial"/>
      <w:sz w:val="20"/>
      <w:szCs w:val="20"/>
      <w:lang w:val="en-US" w:eastAsia="zh-CN"/>
    </w:rPr>
  </w:style>
  <w:style w:type="character" w:customStyle="1" w:styleId="10">
    <w:name w:val="标题 1 字符"/>
    <w:link w:val="1"/>
    <w:locked/>
    <w:rPr>
      <w:rFonts w:ascii="Arial" w:eastAsia="Times New Roman" w:hAnsi="Arial" w:cs="Times New Roman"/>
      <w:sz w:val="36"/>
      <w:szCs w:val="36"/>
      <w:lang w:val="en-GB" w:eastAsia="zh-CN"/>
    </w:rPr>
  </w:style>
  <w:style w:type="character" w:customStyle="1" w:styleId="a7">
    <w:name w:val="正文文本 字符"/>
    <w:basedOn w:val="a0"/>
    <w:link w:val="a6"/>
    <w:rPr>
      <w:rFonts w:ascii="Arial" w:eastAsia="Malgun Gothic" w:hAnsi="Arial" w:cs="Times New Roman"/>
      <w:sz w:val="20"/>
      <w:szCs w:val="20"/>
      <w:lang w:val="en-GB" w:eastAsia="zh-CN"/>
    </w:rPr>
  </w:style>
  <w:style w:type="character" w:customStyle="1" w:styleId="af3">
    <w:name w:val="列表段落 字符"/>
    <w:link w:val="af4"/>
    <w:uiPriority w:val="34"/>
    <w:qFormat/>
    <w:locked/>
    <w:rPr>
      <w:rFonts w:ascii="Calibri" w:eastAsia="宋体" w:hAnsi="Calibri" w:cs="Calibri"/>
      <w:lang w:val="zh-CN" w:eastAsia="zh-CN"/>
    </w:rPr>
  </w:style>
  <w:style w:type="paragraph" w:styleId="af4">
    <w:name w:val="List Paragraph"/>
    <w:basedOn w:val="a"/>
    <w:link w:val="af3"/>
    <w:uiPriority w:val="34"/>
    <w:qFormat/>
    <w:pPr>
      <w:overflowPunct/>
      <w:autoSpaceDE/>
      <w:autoSpaceDN/>
      <w:adjustRightInd/>
      <w:spacing w:after="0"/>
      <w:ind w:left="720"/>
      <w:jc w:val="left"/>
    </w:pPr>
    <w:rPr>
      <w:rFonts w:ascii="Calibri" w:hAnsi="Calibri" w:cs="Calibri"/>
      <w:sz w:val="22"/>
      <w:szCs w:val="22"/>
      <w:lang w:val="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ProposalChar">
    <w:name w:val="Proposal Char"/>
    <w:link w:val="Proposal"/>
    <w:locked/>
    <w:rPr>
      <w:rFonts w:ascii="Arial" w:hAnsi="Arial"/>
      <w:b/>
      <w:bCs/>
      <w:lang w:val="zh-CN" w:eastAsia="zh-CN"/>
    </w:rPr>
  </w:style>
  <w:style w:type="paragraph" w:customStyle="1" w:styleId="Proposal">
    <w:name w:val="Proposal"/>
    <w:basedOn w:val="a"/>
    <w:link w:val="ProposalChar"/>
    <w:qFormat/>
    <w:pPr>
      <w:numPr>
        <w:numId w:val="2"/>
      </w:numPr>
    </w:pPr>
    <w:rPr>
      <w:rFonts w:eastAsiaTheme="minorHAnsi" w:cstheme="minorBidi"/>
      <w:b/>
      <w:bCs/>
      <w:sz w:val="22"/>
      <w:szCs w:val="22"/>
      <w:lang w:val="zh-CN"/>
    </w:rPr>
  </w:style>
  <w:style w:type="character" w:customStyle="1" w:styleId="PLChar">
    <w:name w:val="PL Char"/>
    <w:link w:val="PL"/>
    <w:qFormat/>
    <w:locked/>
    <w:rPr>
      <w:rFonts w:ascii="Courier New"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heme="minorEastAsia" w:hAnsi="Courier New" w:cs="Courier New"/>
      <w:sz w:val="16"/>
      <w:szCs w:val="16"/>
      <w:lang w:val="en-GB" w:eastAsia="ja-JP"/>
    </w:rPr>
  </w:style>
  <w:style w:type="character" w:customStyle="1" w:styleId="CRCoverPageZchn">
    <w:name w:val="CR Cover Page Zchn"/>
    <w:link w:val="CRCoverPage"/>
    <w:locked/>
    <w:rPr>
      <w:rFonts w:ascii="Arial" w:eastAsia="MS Mincho" w:hAnsi="Arial" w:cs="Arial"/>
      <w:lang w:val="en-GB"/>
    </w:rPr>
  </w:style>
  <w:style w:type="paragraph" w:customStyle="1" w:styleId="CRCoverPage">
    <w:name w:val="CR Cover Page"/>
    <w:link w:val="CRCoverPageZchn"/>
    <w:pPr>
      <w:spacing w:after="120"/>
    </w:pPr>
    <w:rPr>
      <w:rFonts w:ascii="Arial" w:eastAsia="MS Mincho" w:hAnsi="Arial" w:cs="Arial"/>
      <w:sz w:val="22"/>
      <w:szCs w:val="22"/>
      <w:lang w:val="en-GB" w:eastAsia="en-US"/>
    </w:rPr>
  </w:style>
  <w:style w:type="paragraph" w:customStyle="1" w:styleId="References">
    <w:name w:val="References"/>
    <w:basedOn w:val="a"/>
    <w:pPr>
      <w:numPr>
        <w:numId w:val="3"/>
      </w:numPr>
      <w:overflowPunct/>
      <w:adjustRightInd/>
      <w:snapToGrid w:val="0"/>
      <w:spacing w:after="60"/>
    </w:pPr>
    <w:rPr>
      <w:szCs w:val="16"/>
      <w:lang w:eastAsia="en-US"/>
    </w:rPr>
  </w:style>
  <w:style w:type="table" w:customStyle="1" w:styleId="11">
    <w:name w:val="网格型1"/>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uiPriority w:val="9"/>
    <w:semiHidden/>
    <w:rPr>
      <w:rFonts w:asciiTheme="majorHAnsi" w:eastAsiaTheme="majorEastAsia" w:hAnsiTheme="majorHAnsi" w:cstheme="majorBidi"/>
      <w:color w:val="1F3864" w:themeColor="accent1" w:themeShade="80"/>
      <w:sz w:val="24"/>
      <w:szCs w:val="24"/>
      <w:lang w:val="en-US" w:eastAsia="zh-CN"/>
    </w:rPr>
  </w:style>
  <w:style w:type="character" w:customStyle="1" w:styleId="a5">
    <w:name w:val="批注文字 字符"/>
    <w:basedOn w:val="a0"/>
    <w:link w:val="a4"/>
    <w:uiPriority w:val="99"/>
    <w:qFormat/>
    <w:rPr>
      <w:rFonts w:ascii="Arial" w:eastAsia="宋体" w:hAnsi="Arial" w:cs="Times New Roman"/>
      <w:sz w:val="20"/>
      <w:szCs w:val="20"/>
      <w:lang w:val="en-US" w:eastAsia="zh-CN"/>
    </w:rPr>
  </w:style>
  <w:style w:type="character" w:customStyle="1" w:styleId="af0">
    <w:name w:val="批注主题 字符"/>
    <w:basedOn w:val="a5"/>
    <w:link w:val="af"/>
    <w:uiPriority w:val="99"/>
    <w:semiHidden/>
    <w:rPr>
      <w:rFonts w:ascii="Arial" w:eastAsia="宋体" w:hAnsi="Arial" w:cs="Times New Roman"/>
      <w:b/>
      <w:bCs/>
      <w:sz w:val="20"/>
      <w:szCs w:val="20"/>
      <w:lang w:val="en-US" w:eastAsia="zh-CN"/>
    </w:rPr>
  </w:style>
  <w:style w:type="character" w:customStyle="1" w:styleId="a9">
    <w:name w:val="批注框文本 字符"/>
    <w:basedOn w:val="a0"/>
    <w:link w:val="a8"/>
    <w:uiPriority w:val="99"/>
    <w:semiHidden/>
    <w:rPr>
      <w:rFonts w:ascii="Segoe UI" w:eastAsia="宋体" w:hAnsi="Segoe UI" w:cs="Segoe UI"/>
      <w:sz w:val="18"/>
      <w:szCs w:val="18"/>
      <w:lang w:val="en-US" w:eastAsia="zh-CN"/>
    </w:rPr>
  </w:style>
  <w:style w:type="character" w:customStyle="1" w:styleId="ad">
    <w:name w:val="页眉 字符"/>
    <w:basedOn w:val="a0"/>
    <w:link w:val="ac"/>
    <w:uiPriority w:val="99"/>
    <w:rPr>
      <w:rFonts w:ascii="Arial" w:eastAsia="宋体" w:hAnsi="Arial" w:cs="Times New Roman"/>
      <w:sz w:val="18"/>
      <w:szCs w:val="18"/>
      <w:lang w:val="en-US" w:eastAsia="zh-CN"/>
    </w:rPr>
  </w:style>
  <w:style w:type="character" w:customStyle="1" w:styleId="ab">
    <w:name w:val="页脚 字符"/>
    <w:basedOn w:val="a0"/>
    <w:link w:val="aa"/>
    <w:uiPriority w:val="99"/>
    <w:rPr>
      <w:rFonts w:ascii="Arial" w:eastAsia="宋体" w:hAnsi="Arial" w:cs="Times New Roman"/>
      <w:sz w:val="18"/>
      <w:szCs w:val="18"/>
      <w:lang w:val="en-US" w:eastAsia="zh-CN"/>
    </w:rPr>
  </w:style>
  <w:style w:type="character" w:customStyle="1" w:styleId="12">
    <w:name w:val="明显强调1"/>
    <w:basedOn w:val="a0"/>
    <w:uiPriority w:val="21"/>
    <w:qFormat/>
    <w:rPr>
      <w:i/>
      <w:iCs/>
      <w:color w:val="4472C4" w:themeColor="accent1"/>
    </w:rPr>
  </w:style>
  <w:style w:type="paragraph" w:customStyle="1" w:styleId="Agreement">
    <w:name w:val="Agreement"/>
    <w:basedOn w:val="a"/>
    <w:next w:val="a"/>
    <w:uiPriority w:val="99"/>
    <w:qFormat/>
    <w:pPr>
      <w:tabs>
        <w:tab w:val="left"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13">
    <w:name w:val="修订1"/>
    <w:hidden/>
    <w:uiPriority w:val="99"/>
    <w:semiHidden/>
    <w:rPr>
      <w:rFonts w:ascii="Arial" w:eastAsia="宋体" w:hAnsi="Arial"/>
    </w:rPr>
  </w:style>
  <w:style w:type="paragraph" w:customStyle="1" w:styleId="B2">
    <w:name w:val="B2"/>
    <w:basedOn w:val="21"/>
    <w:link w:val="B2Char"/>
    <w:qFormat/>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Pr>
      <w:rFonts w:eastAsia="MS Mincho"/>
      <w:kern w:val="2"/>
      <w:sz w:val="21"/>
      <w:lang w:eastAsia="zh-CN"/>
    </w:rPr>
  </w:style>
  <w:style w:type="paragraph" w:customStyle="1" w:styleId="B3">
    <w:name w:val="B3"/>
    <w:basedOn w:val="31"/>
    <w:link w:val="B3Char"/>
    <w:qFormat/>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Pr>
      <w:rFonts w:eastAsia="Times New Roman"/>
      <w:snapToGrid w:val="0"/>
      <w:color w:val="000000"/>
      <w:kern w:val="2"/>
      <w:sz w:val="21"/>
      <w:lang w:eastAsia="ja-JP"/>
    </w:rPr>
  </w:style>
  <w:style w:type="character" w:customStyle="1" w:styleId="B3Char2">
    <w:name w:val="B3 Char2"/>
    <w:qFormat/>
    <w:rPr>
      <w:rFonts w:eastAsia="Times New Roman"/>
      <w:lang w:val="en-GB" w:eastAsia="ja-JP"/>
    </w:rPr>
  </w:style>
  <w:style w:type="character" w:customStyle="1" w:styleId="42">
    <w:name w:val="标题 4 字符"/>
    <w:basedOn w:val="a0"/>
    <w:rPr>
      <w:rFonts w:ascii="Arial" w:eastAsia="Times New Roman" w:hAnsi="Arial" w:cs="Arial"/>
      <w:sz w:val="24"/>
      <w:lang w:val="en-US"/>
    </w:rPr>
  </w:style>
  <w:style w:type="character" w:customStyle="1" w:styleId="30">
    <w:name w:val="标题 3 字符"/>
    <w:basedOn w:val="a0"/>
    <w:link w:val="3"/>
    <w:rPr>
      <w:rFonts w:ascii="Times New Roman" w:eastAsia="Times New Roman" w:hAnsi="Times New Roman" w:cs="Times New Roman" w:hint="default"/>
      <w:b/>
      <w:sz w:val="32"/>
      <w:szCs w:val="32"/>
      <w:lang w:val="en-US"/>
    </w:rPr>
  </w:style>
  <w:style w:type="paragraph" w:customStyle="1" w:styleId="B4">
    <w:name w:val="B4"/>
    <w:basedOn w:val="40"/>
    <w:link w:val="B4Char"/>
    <w:pPr>
      <w:spacing w:after="180"/>
      <w:ind w:left="1418" w:hanging="284"/>
      <w:jc w:val="left"/>
    </w:pPr>
    <w:rPr>
      <w:rFonts w:eastAsia="Times New Roman"/>
      <w:lang w:val="en-US"/>
    </w:rPr>
  </w:style>
  <w:style w:type="character" w:customStyle="1" w:styleId="B4Char">
    <w:name w:val="B4 Char"/>
    <w:basedOn w:val="a0"/>
    <w:link w:val="B4"/>
    <w:rPr>
      <w:rFonts w:ascii="Times New Roman" w:eastAsia="Times New Roman" w:hAnsi="Times New Roman" w:cs="Times New Roman" w:hint="default"/>
      <w:lang w:val="en-US"/>
    </w:rPr>
  </w:style>
  <w:style w:type="paragraph" w:customStyle="1" w:styleId="B5">
    <w:name w:val="B5"/>
    <w:basedOn w:val="51"/>
    <w:link w:val="B5Char"/>
    <w:pPr>
      <w:spacing w:after="180"/>
      <w:ind w:left="1702" w:hanging="284"/>
      <w:jc w:val="left"/>
    </w:pPr>
    <w:rPr>
      <w:rFonts w:eastAsia="Times New Roman"/>
      <w:lang w:val="en-US"/>
    </w:rPr>
  </w:style>
  <w:style w:type="character" w:customStyle="1" w:styleId="B5Char">
    <w:name w:val="B5 Char"/>
    <w:basedOn w:val="a0"/>
    <w:link w:val="B5"/>
    <w:rPr>
      <w:rFonts w:ascii="Times New Roman" w:eastAsia="Times New Roman" w:hAnsi="Times New Roman" w:cs="Times New Roman" w:hint="defau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776</Words>
  <Characters>4426</Characters>
  <Application>Microsoft Office Word</Application>
  <DocSecurity>0</DocSecurity>
  <Lines>36</Lines>
  <Paragraphs>10</Paragraphs>
  <ScaleCrop>false</ScaleCrop>
  <Company>Huawei Technologies Co., Ltd.</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Huawei, HiSilicon</cp:lastModifiedBy>
  <cp:revision>14</cp:revision>
  <dcterms:created xsi:type="dcterms:W3CDTF">2023-04-10T10:39:00Z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(3)fHT2XjoXFipzzJ9hhjNOstFHLiQuQLlrVoyjuZBGCgLLy+II9AbVCd/oWItsRyGdtqT20kFV
Px2vuJxTORmh8B3GHWn8WTU3EA0wsvCiIIqVm11ClmJ0qRKdFHYJ99h4IY/4kQ+gnVkN8qUx
ADE1BuMVvTfxa4PqkHczCwvlQSnmWxp+7gmdAVjQ4YhflYIiy1HIRuddDtE6iS2oWVIDBT61
CMBbgPnCd+nynBUSzZ</vt:lpwstr>
  </property>
  <property fmtid="{D5CDD505-2E9C-101B-9397-08002B2CF9AE}" pid="3" name="_2015_ms_pID_7253431">
    <vt:lpwstr>XibD5TgtfA/Pd/S5LP9b33qqlWTWwMEl7ctLE3LmtFLPjOSc9xLB0F
tNAvpRi+RXIOGpeSF8SKDfYbgEF86lTlnDy5m9EvAB2L52Nh95OJE8S0CPV4Bkauou0iZyaQ
VHPQk29Gch770k2gD3Ii/fPYydBLAxZkmpZRGW2slisSmPeTH35YfzcmsknDGSidhrihAEPJ
UJBNUfw+b1Y9IFvJ07MP1XL2eD5KELlz1Vbr</vt:lpwstr>
  </property>
  <property fmtid="{D5CDD505-2E9C-101B-9397-08002B2CF9AE}" pid="4" name="_2015_ms_pID_7253432">
    <vt:lpwstr>waVVzwdWacG0GZNIyxP4Rg4=</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1697437609</vt:lpwstr>
  </property>
</Properties>
</file>